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09ADC" w14:textId="58F965E1" w:rsidR="0032113D" w:rsidRDefault="006F6686" w:rsidP="00816F26">
      <w:pPr>
        <w:ind w:right="-35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7D2417" wp14:editId="07BA3E61">
            <wp:simplePos x="0" y="0"/>
            <wp:positionH relativeFrom="column">
              <wp:posOffset>-485775</wp:posOffset>
            </wp:positionH>
            <wp:positionV relativeFrom="page">
              <wp:posOffset>276225</wp:posOffset>
            </wp:positionV>
            <wp:extent cx="1410335" cy="1438275"/>
            <wp:effectExtent l="0" t="0" r="0" b="9525"/>
            <wp:wrapThrough wrapText="bothSides">
              <wp:wrapPolygon edited="0">
                <wp:start x="0" y="0"/>
                <wp:lineTo x="0" y="21457"/>
                <wp:lineTo x="21299" y="21457"/>
                <wp:lineTo x="2129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724655B3" wp14:editId="4E91F404">
            <wp:simplePos x="0" y="0"/>
            <wp:positionH relativeFrom="margin">
              <wp:posOffset>3505200</wp:posOffset>
            </wp:positionH>
            <wp:positionV relativeFrom="margin">
              <wp:posOffset>-476250</wp:posOffset>
            </wp:positionV>
            <wp:extent cx="2743200" cy="942340"/>
            <wp:effectExtent l="0" t="0" r="0" b="0"/>
            <wp:wrapSquare wrapText="bothSides"/>
            <wp:docPr id="2" name="Picture 2" descr="\\fbf-nt01\NDrive\Comms and External Relations\Marketing\Logos\Funded Programmes\FA For All\FA_FOR_ALL_FOOTBALL_FOUNDATION\JPG\FA_FOOTBALL_FOUNDATION_4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bf-nt01\NDrive\Comms and External Relations\Marketing\Logos\Funded Programmes\FA For All\FA_FOR_ALL_FOOTBALL_FOUNDATION\JPG\FA_FOOTBALL_FOUNDATION_4C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1B393" w14:textId="77777777" w:rsidR="008965C9" w:rsidRPr="008965C9" w:rsidRDefault="008965C9" w:rsidP="00816F26">
      <w:pPr>
        <w:ind w:right="-35"/>
        <w:rPr>
          <w:rFonts w:ascii="Arial" w:hAnsi="Arial" w:cs="Arial"/>
          <w:b/>
          <w:sz w:val="26"/>
          <w:szCs w:val="26"/>
        </w:rPr>
      </w:pPr>
    </w:p>
    <w:p w14:paraId="01B9F69B" w14:textId="72C64ECA" w:rsidR="006F6686" w:rsidRDefault="006F6686" w:rsidP="00816F26">
      <w:pPr>
        <w:ind w:right="-35"/>
        <w:rPr>
          <w:rFonts w:ascii="Arial" w:hAnsi="Arial" w:cs="Arial"/>
          <w:b/>
          <w:sz w:val="48"/>
          <w:szCs w:val="48"/>
        </w:rPr>
      </w:pPr>
    </w:p>
    <w:p w14:paraId="3CC9845C" w14:textId="77777777" w:rsidR="006F6686" w:rsidRDefault="006F6686" w:rsidP="00816F26">
      <w:pPr>
        <w:ind w:right="-35"/>
        <w:rPr>
          <w:rFonts w:ascii="Arial" w:hAnsi="Arial" w:cs="Arial"/>
          <w:b/>
          <w:sz w:val="48"/>
          <w:szCs w:val="48"/>
        </w:rPr>
      </w:pPr>
    </w:p>
    <w:p w14:paraId="3F42FD72" w14:textId="722E9FEB" w:rsidR="00816F26" w:rsidRDefault="00796A41" w:rsidP="00816F26">
      <w:pPr>
        <w:ind w:right="-35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P</w:t>
      </w:r>
      <w:r w:rsidR="00816F26">
        <w:rPr>
          <w:rFonts w:ascii="Arial" w:hAnsi="Arial" w:cs="Arial"/>
          <w:b/>
          <w:sz w:val="48"/>
          <w:szCs w:val="48"/>
        </w:rPr>
        <w:t>ress Release</w:t>
      </w:r>
    </w:p>
    <w:p w14:paraId="0801DF9A" w14:textId="77777777" w:rsidR="00816F26" w:rsidRDefault="00816F26" w:rsidP="00816F26">
      <w:pPr>
        <w:ind w:right="-35"/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A3944" wp14:editId="4003B4FA">
                <wp:simplePos x="0" y="0"/>
                <wp:positionH relativeFrom="column">
                  <wp:posOffset>12700</wp:posOffset>
                </wp:positionH>
                <wp:positionV relativeFrom="paragraph">
                  <wp:posOffset>68580</wp:posOffset>
                </wp:positionV>
                <wp:extent cx="6134100" cy="0"/>
                <wp:effectExtent l="12700" t="5715" r="635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D26A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5.4pt" to="484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9//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lj3l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"/>
            </w:pict>
          </mc:Fallback>
        </mc:AlternateContent>
      </w:r>
    </w:p>
    <w:p w14:paraId="4AEBBA9C" w14:textId="253C20D2" w:rsidR="00816F26" w:rsidRDefault="00EC4D1B" w:rsidP="00816F26">
      <w:pPr>
        <w:ind w:right="-35"/>
        <w:rPr>
          <w:rFonts w:ascii="Arial" w:hAnsi="Arial" w:cs="Arial"/>
        </w:rPr>
      </w:pPr>
      <w:r w:rsidRPr="00D67D50">
        <w:rPr>
          <w:rFonts w:ascii="Arial" w:hAnsi="Arial" w:cs="Arial"/>
        </w:rPr>
        <w:t xml:space="preserve">Embargo: </w:t>
      </w:r>
      <w:r w:rsidR="00577A73" w:rsidRPr="00D67D50">
        <w:rPr>
          <w:rFonts w:ascii="Arial" w:hAnsi="Arial" w:cs="Arial"/>
        </w:rPr>
        <w:t xml:space="preserve">9.45am on </w:t>
      </w:r>
      <w:r w:rsidR="00B864C1" w:rsidRPr="00D67D50">
        <w:rPr>
          <w:rFonts w:ascii="Arial" w:hAnsi="Arial" w:cs="Arial"/>
        </w:rPr>
        <w:t>Wednesday 1</w:t>
      </w:r>
      <w:r w:rsidR="00897D4F">
        <w:rPr>
          <w:rFonts w:ascii="Arial" w:hAnsi="Arial" w:cs="Arial"/>
        </w:rPr>
        <w:t>7</w:t>
      </w:r>
      <w:r w:rsidR="00B864C1" w:rsidRPr="00D67D50">
        <w:rPr>
          <w:rFonts w:ascii="Arial" w:hAnsi="Arial" w:cs="Arial"/>
        </w:rPr>
        <w:t xml:space="preserve"> April</w:t>
      </w:r>
      <w:r w:rsidRPr="00D67D50">
        <w:rPr>
          <w:rFonts w:ascii="Arial" w:hAnsi="Arial" w:cs="Arial"/>
        </w:rPr>
        <w:t>.</w:t>
      </w:r>
    </w:p>
    <w:p w14:paraId="5062DE31" w14:textId="77777777" w:rsidR="00932E95" w:rsidRDefault="00932E95" w:rsidP="00816F26">
      <w:pPr>
        <w:ind w:right="-35"/>
        <w:rPr>
          <w:rFonts w:ascii="Arial" w:hAnsi="Arial" w:cs="Arial"/>
        </w:rPr>
      </w:pPr>
    </w:p>
    <w:p w14:paraId="7BF2F0BD" w14:textId="4D4899FD" w:rsidR="00E96A77" w:rsidRDefault="00897102" w:rsidP="00E96A77">
      <w:pPr>
        <w:pStyle w:val="ListParagraph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40"/>
          <w:szCs w:val="40"/>
        </w:rPr>
        <w:t xml:space="preserve">New-look scheme </w:t>
      </w:r>
      <w:r w:rsidR="00BC4573">
        <w:rPr>
          <w:rFonts w:ascii="Arial" w:hAnsi="Arial" w:cs="Arial"/>
          <w:b/>
          <w:bCs/>
          <w:sz w:val="40"/>
          <w:szCs w:val="40"/>
        </w:rPr>
        <w:t xml:space="preserve">from The FA </w:t>
      </w:r>
      <w:r>
        <w:rPr>
          <w:rFonts w:ascii="Arial" w:hAnsi="Arial" w:cs="Arial"/>
          <w:b/>
          <w:bCs/>
          <w:sz w:val="40"/>
          <w:szCs w:val="40"/>
        </w:rPr>
        <w:t xml:space="preserve">returns to </w:t>
      </w:r>
      <w:r w:rsidR="00BF5B08">
        <w:rPr>
          <w:rFonts w:ascii="Arial" w:hAnsi="Arial" w:cs="Arial"/>
          <w:b/>
          <w:bCs/>
          <w:sz w:val="40"/>
          <w:szCs w:val="40"/>
        </w:rPr>
        <w:t>support</w:t>
      </w:r>
      <w:r>
        <w:rPr>
          <w:rFonts w:ascii="Arial" w:hAnsi="Arial" w:cs="Arial"/>
          <w:b/>
          <w:bCs/>
          <w:sz w:val="40"/>
          <w:szCs w:val="40"/>
        </w:rPr>
        <w:t xml:space="preserve"> retention of adult male football teams</w:t>
      </w:r>
    </w:p>
    <w:p w14:paraId="56348216" w14:textId="56400091" w:rsidR="00E96A77" w:rsidRPr="00E96A77" w:rsidRDefault="00E96A77" w:rsidP="006F6686">
      <w:pPr>
        <w:pStyle w:val="ListParagraph"/>
        <w:rPr>
          <w:rFonts w:ascii="Arial" w:hAnsi="Arial" w:cs="Arial"/>
          <w:b/>
          <w:bCs/>
          <w:i/>
          <w:sz w:val="26"/>
          <w:szCs w:val="26"/>
        </w:rPr>
      </w:pPr>
    </w:p>
    <w:p w14:paraId="376F659A" w14:textId="70629DBA" w:rsidR="00E96A77" w:rsidRDefault="00E96A77" w:rsidP="00166F96">
      <w:pPr>
        <w:pStyle w:val="ListParagraph"/>
        <w:numPr>
          <w:ilvl w:val="0"/>
          <w:numId w:val="18"/>
        </w:numPr>
        <w:jc w:val="center"/>
        <w:rPr>
          <w:rFonts w:ascii="Arial" w:hAnsi="Arial" w:cs="Arial"/>
          <w:b/>
          <w:bCs/>
          <w:i/>
          <w:sz w:val="26"/>
          <w:szCs w:val="26"/>
        </w:rPr>
      </w:pPr>
      <w:r w:rsidRPr="00E96A77">
        <w:rPr>
          <w:rFonts w:ascii="Arial" w:hAnsi="Arial" w:cs="Arial"/>
          <w:b/>
          <w:bCs/>
          <w:i/>
          <w:sz w:val="26"/>
          <w:szCs w:val="26"/>
        </w:rPr>
        <w:t>Grants av</w:t>
      </w:r>
      <w:r w:rsidR="00166F96">
        <w:rPr>
          <w:rFonts w:ascii="Arial" w:hAnsi="Arial" w:cs="Arial"/>
          <w:b/>
          <w:bCs/>
          <w:i/>
          <w:sz w:val="26"/>
          <w:szCs w:val="26"/>
        </w:rPr>
        <w:t>a</w:t>
      </w:r>
      <w:r w:rsidR="0078595D">
        <w:rPr>
          <w:rFonts w:ascii="Arial" w:hAnsi="Arial" w:cs="Arial"/>
          <w:b/>
          <w:bCs/>
          <w:i/>
          <w:sz w:val="26"/>
          <w:szCs w:val="26"/>
        </w:rPr>
        <w:t>ilable for</w:t>
      </w:r>
      <w:r w:rsidR="0032113D">
        <w:rPr>
          <w:rFonts w:ascii="Arial" w:hAnsi="Arial" w:cs="Arial"/>
          <w:b/>
          <w:bCs/>
          <w:i/>
          <w:sz w:val="26"/>
          <w:szCs w:val="26"/>
        </w:rPr>
        <w:t xml:space="preserve"> clubs to </w:t>
      </w:r>
      <w:r w:rsidR="007A629E">
        <w:rPr>
          <w:rFonts w:ascii="Arial" w:hAnsi="Arial" w:cs="Arial"/>
          <w:b/>
          <w:bCs/>
          <w:i/>
          <w:sz w:val="26"/>
          <w:szCs w:val="26"/>
        </w:rPr>
        <w:t>maintain</w:t>
      </w:r>
      <w:r w:rsidR="0078595D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r w:rsidR="00947354">
        <w:rPr>
          <w:rFonts w:ascii="Arial" w:hAnsi="Arial" w:cs="Arial"/>
          <w:b/>
          <w:bCs/>
          <w:i/>
          <w:sz w:val="26"/>
          <w:szCs w:val="26"/>
        </w:rPr>
        <w:t>existing adult male teams</w:t>
      </w:r>
    </w:p>
    <w:p w14:paraId="0EF29C4A" w14:textId="2A17BD39" w:rsidR="00DC6AC1" w:rsidRDefault="00DC6AC1" w:rsidP="00166F96">
      <w:pPr>
        <w:pStyle w:val="ListParagraph"/>
        <w:numPr>
          <w:ilvl w:val="0"/>
          <w:numId w:val="18"/>
        </w:numPr>
        <w:jc w:val="center"/>
        <w:rPr>
          <w:rFonts w:ascii="Arial" w:hAnsi="Arial" w:cs="Arial"/>
          <w:b/>
          <w:bCs/>
          <w:i/>
          <w:sz w:val="26"/>
          <w:szCs w:val="26"/>
        </w:rPr>
      </w:pPr>
      <w:r>
        <w:rPr>
          <w:rFonts w:ascii="Arial" w:hAnsi="Arial" w:cs="Arial"/>
          <w:b/>
          <w:bCs/>
          <w:i/>
          <w:sz w:val="26"/>
          <w:szCs w:val="26"/>
        </w:rPr>
        <w:t xml:space="preserve">Application window open until </w:t>
      </w:r>
      <w:r w:rsidR="00E12BEC">
        <w:rPr>
          <w:rFonts w:ascii="Arial" w:hAnsi="Arial" w:cs="Arial"/>
          <w:b/>
          <w:bCs/>
          <w:i/>
          <w:sz w:val="26"/>
          <w:szCs w:val="26"/>
        </w:rPr>
        <w:t>Thursday 6</w:t>
      </w:r>
      <w:bookmarkStart w:id="0" w:name="_GoBack"/>
      <w:bookmarkEnd w:id="0"/>
      <w:r>
        <w:rPr>
          <w:rFonts w:ascii="Arial" w:hAnsi="Arial" w:cs="Arial"/>
          <w:b/>
          <w:bCs/>
          <w:i/>
          <w:sz w:val="26"/>
          <w:szCs w:val="26"/>
        </w:rPr>
        <w:t xml:space="preserve"> June 2019</w:t>
      </w:r>
    </w:p>
    <w:p w14:paraId="47999618" w14:textId="77777777" w:rsidR="0032113D" w:rsidRPr="0032113D" w:rsidRDefault="0032113D" w:rsidP="0032113D">
      <w:pPr>
        <w:rPr>
          <w:rFonts w:ascii="Arial" w:hAnsi="Arial" w:cs="Arial"/>
          <w:b/>
          <w:bCs/>
          <w:i/>
          <w:sz w:val="26"/>
          <w:szCs w:val="26"/>
        </w:rPr>
      </w:pPr>
    </w:p>
    <w:p w14:paraId="69ECAE56" w14:textId="16F4B4BB" w:rsidR="0093690D" w:rsidRDefault="00EA6D0E" w:rsidP="00142878">
      <w:pPr>
        <w:rPr>
          <w:rFonts w:ascii="Arial" w:hAnsi="Arial" w:cs="Arial"/>
        </w:rPr>
      </w:pPr>
      <w:r>
        <w:rPr>
          <w:rFonts w:ascii="Arial" w:hAnsi="Arial" w:cs="Arial"/>
        </w:rPr>
        <w:t>The F</w:t>
      </w:r>
      <w:r w:rsidR="007A629E">
        <w:rPr>
          <w:rFonts w:ascii="Arial" w:hAnsi="Arial" w:cs="Arial"/>
        </w:rPr>
        <w:t>ootball Association (The FA)</w:t>
      </w:r>
      <w:r>
        <w:rPr>
          <w:rFonts w:ascii="Arial" w:hAnsi="Arial" w:cs="Arial"/>
        </w:rPr>
        <w:t xml:space="preserve"> </w:t>
      </w:r>
      <w:r w:rsidR="00975C2E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="0093690D">
        <w:rPr>
          <w:rFonts w:ascii="Arial" w:hAnsi="Arial" w:cs="Arial"/>
        </w:rPr>
        <w:t>re</w:t>
      </w:r>
      <w:r w:rsidR="00BC4573">
        <w:rPr>
          <w:rFonts w:ascii="Arial" w:hAnsi="Arial" w:cs="Arial"/>
        </w:rPr>
        <w:t>-</w:t>
      </w:r>
      <w:r w:rsidR="0093690D">
        <w:rPr>
          <w:rFonts w:ascii="Arial" w:hAnsi="Arial" w:cs="Arial"/>
        </w:rPr>
        <w:t xml:space="preserve">launching </w:t>
      </w:r>
      <w:r w:rsidR="00975C2E">
        <w:rPr>
          <w:rFonts w:ascii="Arial" w:hAnsi="Arial" w:cs="Arial"/>
        </w:rPr>
        <w:t>its</w:t>
      </w:r>
      <w:r w:rsidR="0093690D">
        <w:rPr>
          <w:rFonts w:ascii="Arial" w:hAnsi="Arial" w:cs="Arial"/>
        </w:rPr>
        <w:t xml:space="preserve"> adult male retention</w:t>
      </w:r>
      <w:r w:rsidR="00F43FE2">
        <w:rPr>
          <w:rFonts w:ascii="Arial" w:hAnsi="Arial" w:cs="Arial"/>
        </w:rPr>
        <w:t>-focused funding</w:t>
      </w:r>
      <w:r w:rsidR="0093690D">
        <w:rPr>
          <w:rFonts w:ascii="Arial" w:hAnsi="Arial" w:cs="Arial"/>
        </w:rPr>
        <w:t xml:space="preserve"> scheme to </w:t>
      </w:r>
      <w:r w:rsidR="002C16AF">
        <w:rPr>
          <w:rFonts w:ascii="Arial" w:hAnsi="Arial" w:cs="Arial"/>
        </w:rPr>
        <w:t xml:space="preserve">support </w:t>
      </w:r>
      <w:r w:rsidR="00BF5B08">
        <w:rPr>
          <w:rFonts w:ascii="Arial" w:hAnsi="Arial" w:cs="Arial"/>
        </w:rPr>
        <w:t xml:space="preserve">men’s </w:t>
      </w:r>
      <w:r w:rsidR="007A629E">
        <w:rPr>
          <w:rFonts w:ascii="Arial" w:hAnsi="Arial" w:cs="Arial"/>
        </w:rPr>
        <w:t xml:space="preserve">11-a-side </w:t>
      </w:r>
      <w:r w:rsidR="0093690D">
        <w:rPr>
          <w:rFonts w:ascii="Arial" w:hAnsi="Arial" w:cs="Arial"/>
        </w:rPr>
        <w:t>community football teams</w:t>
      </w:r>
      <w:r w:rsidR="002C16AF">
        <w:rPr>
          <w:rFonts w:ascii="Arial" w:hAnsi="Arial" w:cs="Arial"/>
        </w:rPr>
        <w:t xml:space="preserve"> across the country</w:t>
      </w:r>
      <w:r w:rsidR="0093690D">
        <w:rPr>
          <w:rFonts w:ascii="Arial" w:hAnsi="Arial" w:cs="Arial"/>
        </w:rPr>
        <w:t>.</w:t>
      </w:r>
    </w:p>
    <w:p w14:paraId="022132FB" w14:textId="4EAD8945" w:rsidR="0093690D" w:rsidRDefault="0093690D" w:rsidP="00142878">
      <w:pPr>
        <w:rPr>
          <w:rFonts w:ascii="Arial" w:hAnsi="Arial" w:cs="Arial"/>
        </w:rPr>
      </w:pPr>
    </w:p>
    <w:p w14:paraId="6CA9EE66" w14:textId="7A720FDD" w:rsidR="002D0AB5" w:rsidRDefault="0093690D" w:rsidP="00142878">
      <w:pPr>
        <w:rPr>
          <w:rFonts w:ascii="Arial" w:hAnsi="Arial" w:cs="Arial"/>
        </w:rPr>
      </w:pPr>
      <w:r>
        <w:rPr>
          <w:rFonts w:ascii="Arial" w:hAnsi="Arial" w:cs="Arial"/>
        </w:rPr>
        <w:t>The newly-</w:t>
      </w:r>
      <w:r w:rsidR="00975C2E">
        <w:rPr>
          <w:rFonts w:ascii="Arial" w:hAnsi="Arial" w:cs="Arial"/>
        </w:rPr>
        <w:t>titled</w:t>
      </w:r>
      <w:r>
        <w:rPr>
          <w:rFonts w:ascii="Arial" w:hAnsi="Arial" w:cs="Arial"/>
        </w:rPr>
        <w:t xml:space="preserve"> </w:t>
      </w:r>
      <w:r w:rsidRPr="00BF5B08">
        <w:rPr>
          <w:rFonts w:ascii="Arial" w:hAnsi="Arial" w:cs="Arial"/>
          <w:i/>
        </w:rPr>
        <w:t>Stay in the Game</w:t>
      </w:r>
      <w:r>
        <w:rPr>
          <w:rFonts w:ascii="Arial" w:hAnsi="Arial" w:cs="Arial"/>
        </w:rPr>
        <w:t xml:space="preserve"> scheme will offer existing clubs the opportunity to apply for grants of £750 </w:t>
      </w:r>
      <w:r w:rsidR="00D9327C">
        <w:rPr>
          <w:rFonts w:ascii="Arial" w:hAnsi="Arial" w:cs="Arial"/>
        </w:rPr>
        <w:t>to help cover the various associated costs of running a football team</w:t>
      </w:r>
      <w:r w:rsidR="002D0AB5">
        <w:rPr>
          <w:rFonts w:ascii="Arial" w:hAnsi="Arial" w:cs="Arial"/>
        </w:rPr>
        <w:t xml:space="preserve">. </w:t>
      </w:r>
    </w:p>
    <w:p w14:paraId="7E862208" w14:textId="7EF81F52" w:rsidR="002D0AB5" w:rsidRDefault="002D0AB5" w:rsidP="00142878">
      <w:pPr>
        <w:rPr>
          <w:rFonts w:ascii="Arial" w:hAnsi="Arial" w:cs="Arial"/>
        </w:rPr>
      </w:pPr>
    </w:p>
    <w:p w14:paraId="0FD69743" w14:textId="3F2CA832" w:rsidR="002D0AB5" w:rsidRDefault="002D0AB5" w:rsidP="00142878">
      <w:pPr>
        <w:rPr>
          <w:rFonts w:ascii="Arial" w:hAnsi="Arial" w:cs="Arial"/>
        </w:rPr>
      </w:pPr>
      <w:r>
        <w:rPr>
          <w:rFonts w:ascii="Arial" w:hAnsi="Arial" w:cs="Arial"/>
        </w:rPr>
        <w:t>Last year, under the</w:t>
      </w:r>
      <w:r w:rsidR="00D9327C">
        <w:rPr>
          <w:rFonts w:ascii="Arial" w:hAnsi="Arial" w:cs="Arial"/>
        </w:rPr>
        <w:t xml:space="preserve"> name </w:t>
      </w:r>
      <w:r w:rsidR="00D9327C">
        <w:rPr>
          <w:rFonts w:ascii="Arial" w:hAnsi="Arial" w:cs="Arial"/>
          <w:i/>
        </w:rPr>
        <w:t>Retain the Game</w:t>
      </w:r>
      <w:r w:rsidR="00D9674C">
        <w:rPr>
          <w:rFonts w:ascii="Arial" w:hAnsi="Arial" w:cs="Arial"/>
          <w:i/>
        </w:rPr>
        <w:t>,</w:t>
      </w:r>
      <w:r w:rsidR="00D9327C">
        <w:rPr>
          <w:rFonts w:ascii="Arial" w:hAnsi="Arial" w:cs="Arial"/>
        </w:rPr>
        <w:t xml:space="preserve"> the scheme helped to support the retention of 2,336 adult male teams across the country, </w:t>
      </w:r>
      <w:r w:rsidR="006F6686">
        <w:rPr>
          <w:rFonts w:ascii="Arial" w:hAnsi="Arial" w:cs="Arial"/>
        </w:rPr>
        <w:t>supporting an estimated 55,000 community footballers</w:t>
      </w:r>
      <w:r w:rsidR="00D9327C">
        <w:rPr>
          <w:rFonts w:ascii="Arial" w:hAnsi="Arial" w:cs="Arial"/>
        </w:rPr>
        <w:t>.</w:t>
      </w:r>
    </w:p>
    <w:p w14:paraId="61C8F986" w14:textId="77777777" w:rsidR="002D0AB5" w:rsidRDefault="002D0AB5" w:rsidP="00142878">
      <w:pPr>
        <w:rPr>
          <w:rFonts w:ascii="Arial" w:hAnsi="Arial" w:cs="Arial"/>
        </w:rPr>
      </w:pPr>
    </w:p>
    <w:p w14:paraId="5D6AA552" w14:textId="3880CA3F" w:rsidR="00375FF0" w:rsidRDefault="00375FF0" w:rsidP="001428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Clubs who benefitted from the grants </w:t>
      </w:r>
      <w:r w:rsidR="00F43FE2">
        <w:rPr>
          <w:rFonts w:ascii="Arial" w:hAnsi="Arial" w:cs="Arial"/>
        </w:rPr>
        <w:t xml:space="preserve">last year </w:t>
      </w:r>
      <w:r>
        <w:rPr>
          <w:rFonts w:ascii="Arial" w:hAnsi="Arial" w:cs="Arial"/>
        </w:rPr>
        <w:t xml:space="preserve">were able to use </w:t>
      </w:r>
      <w:r w:rsidR="007A629E">
        <w:rPr>
          <w:rFonts w:ascii="Arial" w:hAnsi="Arial" w:cs="Arial"/>
        </w:rPr>
        <w:t xml:space="preserve">the funding </w:t>
      </w:r>
      <w:r w:rsidR="00F43FE2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matchday and training facility hire, first-aid training and new equipment, whilst also subsidising matchday fees for members of their respective squads.</w:t>
      </w:r>
    </w:p>
    <w:p w14:paraId="45A208DF" w14:textId="77777777" w:rsidR="00DC6AC1" w:rsidRDefault="00DC6AC1" w:rsidP="00142878">
      <w:pPr>
        <w:rPr>
          <w:rFonts w:ascii="Arial" w:hAnsi="Arial" w:cs="Arial"/>
        </w:rPr>
      </w:pPr>
    </w:p>
    <w:p w14:paraId="29F5D758" w14:textId="50E69225" w:rsidR="00936431" w:rsidRPr="00936431" w:rsidRDefault="00DC6AC1" w:rsidP="00936431">
      <w:pPr>
        <w:rPr>
          <w:rFonts w:ascii="Arial" w:hAnsi="Arial" w:cs="Arial"/>
          <w:b/>
          <w:bCs/>
          <w:iCs/>
        </w:rPr>
      </w:pPr>
      <w:r w:rsidRPr="006F6686">
        <w:rPr>
          <w:rFonts w:ascii="Arial" w:hAnsi="Arial" w:cs="Arial"/>
          <w:bCs/>
          <w:iCs/>
        </w:rPr>
        <w:t>Paul Simpson, England Under-20s Head Coach, said</w:t>
      </w:r>
      <w:r w:rsidR="00936431">
        <w:rPr>
          <w:rFonts w:ascii="Arial" w:hAnsi="Arial" w:cs="Arial"/>
          <w:bCs/>
          <w:iCs/>
        </w:rPr>
        <w:t>:</w:t>
      </w:r>
      <w:r w:rsidR="00936431" w:rsidRPr="00936431">
        <w:rPr>
          <w:rFonts w:ascii="Arial" w:hAnsi="Arial" w:cs="Arial"/>
          <w:b/>
          <w:bCs/>
          <w:iCs/>
        </w:rPr>
        <w:t xml:space="preserve"> “It’s no secret that we are seeing adult male players move from regular 11-a-side football into other more casual formats of the game.</w:t>
      </w:r>
    </w:p>
    <w:p w14:paraId="57530CAE" w14:textId="77777777" w:rsidR="00936431" w:rsidRPr="00936431" w:rsidRDefault="00936431" w:rsidP="00936431">
      <w:pPr>
        <w:rPr>
          <w:rFonts w:ascii="Arial" w:hAnsi="Arial" w:cs="Arial"/>
          <w:b/>
          <w:bCs/>
          <w:iCs/>
        </w:rPr>
      </w:pPr>
    </w:p>
    <w:p w14:paraId="281A5484" w14:textId="77777777" w:rsidR="00936431" w:rsidRPr="00936431" w:rsidRDefault="00936431" w:rsidP="00936431">
      <w:pPr>
        <w:rPr>
          <w:rFonts w:ascii="Arial" w:hAnsi="Arial" w:cs="Arial"/>
          <w:b/>
          <w:bCs/>
          <w:iCs/>
        </w:rPr>
      </w:pPr>
      <w:r w:rsidRPr="00936431">
        <w:rPr>
          <w:rFonts w:ascii="Arial" w:hAnsi="Arial" w:cs="Arial"/>
          <w:b/>
          <w:bCs/>
          <w:iCs/>
        </w:rPr>
        <w:t>“One of the main reasons is clubs lacking money for things like match fees, facilities hire, new kit and equipment, which can lead to their teams folding.</w:t>
      </w:r>
    </w:p>
    <w:p w14:paraId="1529159C" w14:textId="77777777" w:rsidR="00936431" w:rsidRPr="00936431" w:rsidRDefault="00936431" w:rsidP="00936431">
      <w:pPr>
        <w:rPr>
          <w:rFonts w:ascii="Arial" w:hAnsi="Arial" w:cs="Arial"/>
          <w:b/>
          <w:bCs/>
          <w:iCs/>
        </w:rPr>
      </w:pPr>
    </w:p>
    <w:p w14:paraId="157709D9" w14:textId="388187B5" w:rsidR="00DC6AC1" w:rsidRDefault="00936431" w:rsidP="00936431">
      <w:pPr>
        <w:rPr>
          <w:rFonts w:ascii="Arial" w:hAnsi="Arial" w:cs="Arial"/>
          <w:b/>
          <w:bCs/>
          <w:iCs/>
        </w:rPr>
      </w:pPr>
      <w:r w:rsidRPr="00936431">
        <w:rPr>
          <w:rFonts w:ascii="Arial" w:hAnsi="Arial" w:cs="Arial"/>
          <w:b/>
          <w:bCs/>
          <w:iCs/>
        </w:rPr>
        <w:t xml:space="preserve">“Last year’s roll-out of the scheme saw some really positive strides and I hope we’ll see men’s 11-a-side teams across the country receive a helping hand.”  </w:t>
      </w:r>
    </w:p>
    <w:p w14:paraId="5C4004AB" w14:textId="77777777" w:rsidR="00936431" w:rsidRPr="00D67D50" w:rsidRDefault="00936431" w:rsidP="00936431">
      <w:pPr>
        <w:rPr>
          <w:rFonts w:ascii="Arial" w:hAnsi="Arial" w:cs="Arial"/>
          <w:b/>
          <w:bCs/>
          <w:iCs/>
        </w:rPr>
      </w:pPr>
    </w:p>
    <w:p w14:paraId="3508ACF0" w14:textId="5BFA9DB3" w:rsidR="00375FF0" w:rsidRPr="00470623" w:rsidRDefault="00375FF0" w:rsidP="00142878">
      <w:pPr>
        <w:rPr>
          <w:rFonts w:ascii="Arial" w:hAnsi="Arial" w:cs="Arial"/>
        </w:rPr>
      </w:pPr>
      <w:r w:rsidRPr="00470623">
        <w:rPr>
          <w:rFonts w:ascii="Arial" w:hAnsi="Arial" w:cs="Arial"/>
        </w:rPr>
        <w:t xml:space="preserve">This year, the grants will once again be available to adult male teams </w:t>
      </w:r>
      <w:r w:rsidR="00470623" w:rsidRPr="00470623">
        <w:rPr>
          <w:rFonts w:ascii="Arial" w:hAnsi="Arial" w:cs="Arial"/>
        </w:rPr>
        <w:t xml:space="preserve">in the </w:t>
      </w:r>
      <w:r w:rsidR="006F6686">
        <w:rPr>
          <w:rFonts w:ascii="Arial" w:hAnsi="Arial" w:cs="Arial"/>
        </w:rPr>
        <w:t>u</w:t>
      </w:r>
      <w:r w:rsidR="00470623" w:rsidRPr="00470623">
        <w:rPr>
          <w:rFonts w:ascii="Arial" w:hAnsi="Arial" w:cs="Arial"/>
        </w:rPr>
        <w:t>nder-1</w:t>
      </w:r>
      <w:r w:rsidR="006F6686">
        <w:rPr>
          <w:rFonts w:ascii="Arial" w:hAnsi="Arial" w:cs="Arial"/>
        </w:rPr>
        <w:t>8</w:t>
      </w:r>
      <w:r w:rsidR="00470623" w:rsidRPr="00470623">
        <w:rPr>
          <w:rFonts w:ascii="Arial" w:hAnsi="Arial" w:cs="Arial"/>
        </w:rPr>
        <w:t xml:space="preserve"> to </w:t>
      </w:r>
      <w:r w:rsidR="006F6686">
        <w:rPr>
          <w:rFonts w:ascii="Arial" w:hAnsi="Arial" w:cs="Arial"/>
        </w:rPr>
        <w:t>U</w:t>
      </w:r>
      <w:r w:rsidR="00470623" w:rsidRPr="00470623">
        <w:rPr>
          <w:rFonts w:ascii="Arial" w:hAnsi="Arial" w:cs="Arial"/>
        </w:rPr>
        <w:t>nder-21 category, open</w:t>
      </w:r>
      <w:r w:rsidR="00BF5B08">
        <w:rPr>
          <w:rFonts w:ascii="Arial" w:hAnsi="Arial" w:cs="Arial"/>
        </w:rPr>
        <w:t>-</w:t>
      </w:r>
      <w:r w:rsidR="00470623" w:rsidRPr="00470623">
        <w:rPr>
          <w:rFonts w:ascii="Arial" w:hAnsi="Arial" w:cs="Arial"/>
        </w:rPr>
        <w:t>age adult sides and veterans’ teams.</w:t>
      </w:r>
    </w:p>
    <w:p w14:paraId="4CB3904E" w14:textId="07B60D3C" w:rsidR="00BF716A" w:rsidRPr="00237DFA" w:rsidRDefault="00BF716A" w:rsidP="00142878">
      <w:pPr>
        <w:rPr>
          <w:rFonts w:ascii="Arial" w:hAnsi="Arial" w:cs="Arial"/>
          <w:highlight w:val="yellow"/>
        </w:rPr>
      </w:pPr>
    </w:p>
    <w:p w14:paraId="21640671" w14:textId="77777777" w:rsidR="00AB7B23" w:rsidRPr="00AB7B23" w:rsidRDefault="00AB7B23" w:rsidP="00AB7B23">
      <w:pPr>
        <w:rPr>
          <w:rFonts w:ascii="Arial" w:hAnsi="Arial" w:cs="Arial"/>
        </w:rPr>
      </w:pPr>
      <w:bookmarkStart w:id="1" w:name="_Hlk3464708"/>
      <w:r w:rsidRPr="00AB7B23">
        <w:rPr>
          <w:rFonts w:ascii="Arial" w:hAnsi="Arial" w:cs="Arial"/>
        </w:rPr>
        <w:lastRenderedPageBreak/>
        <w:t xml:space="preserve">Grassroots clubs that meet the following criteria will be eligible to apply: </w:t>
      </w:r>
    </w:p>
    <w:p w14:paraId="1557E00A" w14:textId="77777777" w:rsidR="00AB7B23" w:rsidRPr="00AB7B23" w:rsidRDefault="00AB7B23" w:rsidP="00AB7B23">
      <w:pPr>
        <w:rPr>
          <w:rFonts w:ascii="Arial" w:hAnsi="Arial" w:cs="Arial"/>
        </w:rPr>
      </w:pPr>
    </w:p>
    <w:p w14:paraId="673AA1F1" w14:textId="047A309F" w:rsidR="00AB7B23" w:rsidRPr="00AA7D42" w:rsidRDefault="00AB7B23" w:rsidP="00AA7D4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AA7D42">
        <w:rPr>
          <w:rFonts w:ascii="Arial" w:hAnsi="Arial" w:cs="Arial"/>
        </w:rPr>
        <w:t>Clubs that operate with two or more adult male teams – Under-18s, Under-19s, Under-21s, Under-23s, open age and vets</w:t>
      </w:r>
      <w:r w:rsidR="00AA7D42">
        <w:rPr>
          <w:rFonts w:ascii="Arial" w:hAnsi="Arial" w:cs="Arial"/>
        </w:rPr>
        <w:t>.</w:t>
      </w:r>
    </w:p>
    <w:p w14:paraId="4F63913D" w14:textId="77777777" w:rsidR="00AB7B23" w:rsidRPr="00AA7D42" w:rsidRDefault="00AB7B23" w:rsidP="00AA7D4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AA7D42">
        <w:rPr>
          <w:rFonts w:ascii="Arial" w:hAnsi="Arial" w:cs="Arial"/>
        </w:rPr>
        <w:t>Clubs that hold the FA’s Charter Standard Award (Adult, Youth, Development or Community).</w:t>
      </w:r>
    </w:p>
    <w:p w14:paraId="39C7A036" w14:textId="72E98AAE" w:rsidR="00AB7B23" w:rsidRPr="00AA7D42" w:rsidRDefault="00AB7B23" w:rsidP="00AA7D4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AA7D42">
        <w:rPr>
          <w:rFonts w:ascii="Arial" w:hAnsi="Arial" w:cs="Arial"/>
        </w:rPr>
        <w:t>Adult clubs that commit to becoming FA Adult Charter Standard within season 2019/20</w:t>
      </w:r>
      <w:r w:rsidR="00AA7D42">
        <w:rPr>
          <w:rFonts w:ascii="Arial" w:hAnsi="Arial" w:cs="Arial"/>
        </w:rPr>
        <w:t>.</w:t>
      </w:r>
    </w:p>
    <w:p w14:paraId="3A5A034C" w14:textId="77777777" w:rsidR="00AB7B23" w:rsidRPr="00AA7D42" w:rsidRDefault="00AB7B23" w:rsidP="00AA7D4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AA7D42">
        <w:rPr>
          <w:rFonts w:ascii="Arial" w:hAnsi="Arial" w:cs="Arial"/>
        </w:rPr>
        <w:t>Clubs that have the support of their County Football Association.</w:t>
      </w:r>
    </w:p>
    <w:p w14:paraId="0D90C084" w14:textId="77777777" w:rsidR="00470623" w:rsidRPr="00470623" w:rsidRDefault="00470623" w:rsidP="00142878">
      <w:pPr>
        <w:rPr>
          <w:rFonts w:ascii="Arial" w:hAnsi="Arial" w:cs="Arial"/>
        </w:rPr>
      </w:pPr>
    </w:p>
    <w:bookmarkEnd w:id="1"/>
    <w:p w14:paraId="5D72A3FD" w14:textId="2CB902B4" w:rsidR="00120F7C" w:rsidRPr="00D67D50" w:rsidRDefault="00A31D72" w:rsidP="00120F7C">
      <w:pPr>
        <w:rPr>
          <w:rFonts w:ascii="Arial" w:hAnsi="Arial" w:cs="Arial"/>
        </w:rPr>
      </w:pPr>
      <w:r w:rsidRPr="00D67D50">
        <w:rPr>
          <w:rFonts w:ascii="Arial" w:hAnsi="Arial" w:cs="Arial"/>
        </w:rPr>
        <w:t>The</w:t>
      </w:r>
      <w:r w:rsidR="00900411" w:rsidRPr="00D67D50">
        <w:rPr>
          <w:rFonts w:ascii="Arial" w:hAnsi="Arial" w:cs="Arial"/>
        </w:rPr>
        <w:t xml:space="preserve"> application windo</w:t>
      </w:r>
      <w:r w:rsidR="00B47F4A" w:rsidRPr="00D67D50">
        <w:rPr>
          <w:rFonts w:ascii="Arial" w:hAnsi="Arial" w:cs="Arial"/>
        </w:rPr>
        <w:t xml:space="preserve">w </w:t>
      </w:r>
      <w:r w:rsidR="003C1B68" w:rsidRPr="00D67D50">
        <w:rPr>
          <w:rFonts w:ascii="Arial" w:hAnsi="Arial" w:cs="Arial"/>
        </w:rPr>
        <w:t xml:space="preserve">for </w:t>
      </w:r>
      <w:r w:rsidR="00375FF0" w:rsidRPr="00BF5B08">
        <w:rPr>
          <w:rFonts w:ascii="Arial" w:hAnsi="Arial" w:cs="Arial"/>
          <w:i/>
        </w:rPr>
        <w:t>Stay in the Game</w:t>
      </w:r>
      <w:r w:rsidR="00900411" w:rsidRPr="00D67D50">
        <w:rPr>
          <w:rFonts w:ascii="Arial" w:hAnsi="Arial" w:cs="Arial"/>
        </w:rPr>
        <w:t xml:space="preserve"> </w:t>
      </w:r>
      <w:r w:rsidR="002C2E2C" w:rsidRPr="00D67D50">
        <w:rPr>
          <w:rFonts w:ascii="Arial" w:hAnsi="Arial" w:cs="Arial"/>
        </w:rPr>
        <w:t xml:space="preserve">is now open and closes on </w:t>
      </w:r>
      <w:r w:rsidR="00217520">
        <w:rPr>
          <w:rFonts w:ascii="Arial" w:hAnsi="Arial" w:cs="Arial"/>
        </w:rPr>
        <w:t>at</w:t>
      </w:r>
      <w:r w:rsidR="00217520">
        <w:rPr>
          <w:rFonts w:ascii="Arial" w:hAnsi="Arial" w:cs="Arial"/>
          <w:b/>
        </w:rPr>
        <w:t xml:space="preserve"> 5pm </w:t>
      </w:r>
      <w:r w:rsidR="00217520">
        <w:rPr>
          <w:rFonts w:ascii="Arial" w:hAnsi="Arial" w:cs="Arial"/>
        </w:rPr>
        <w:t xml:space="preserve">on </w:t>
      </w:r>
      <w:r w:rsidR="00F14E5A">
        <w:rPr>
          <w:rFonts w:ascii="Arial" w:hAnsi="Arial" w:cs="Arial"/>
          <w:b/>
        </w:rPr>
        <w:t>Thursda</w:t>
      </w:r>
      <w:r w:rsidR="0078029C">
        <w:rPr>
          <w:rFonts w:ascii="Arial" w:hAnsi="Arial" w:cs="Arial"/>
          <w:b/>
        </w:rPr>
        <w:t xml:space="preserve">y </w:t>
      </w:r>
      <w:r w:rsidR="00F14E5A">
        <w:rPr>
          <w:rFonts w:ascii="Arial" w:hAnsi="Arial" w:cs="Arial"/>
          <w:b/>
        </w:rPr>
        <w:t>6</w:t>
      </w:r>
      <w:r w:rsidR="0078029C">
        <w:rPr>
          <w:rFonts w:ascii="Arial" w:hAnsi="Arial" w:cs="Arial"/>
          <w:b/>
        </w:rPr>
        <w:t xml:space="preserve"> </w:t>
      </w:r>
      <w:r w:rsidR="00470623">
        <w:rPr>
          <w:rFonts w:ascii="Arial" w:hAnsi="Arial" w:cs="Arial"/>
          <w:b/>
        </w:rPr>
        <w:t>June</w:t>
      </w:r>
      <w:r w:rsidR="00B52895">
        <w:rPr>
          <w:rFonts w:ascii="Arial" w:hAnsi="Arial" w:cs="Arial"/>
          <w:b/>
        </w:rPr>
        <w:t xml:space="preserve"> 2019</w:t>
      </w:r>
      <w:r w:rsidR="00900411" w:rsidRPr="00D67D50">
        <w:rPr>
          <w:rFonts w:ascii="Arial" w:hAnsi="Arial" w:cs="Arial"/>
        </w:rPr>
        <w:t>.</w:t>
      </w:r>
      <w:r w:rsidR="002670DC" w:rsidRPr="00D67D50">
        <w:rPr>
          <w:rFonts w:ascii="Arial" w:hAnsi="Arial" w:cs="Arial"/>
        </w:rPr>
        <w:t xml:space="preserve"> </w:t>
      </w:r>
      <w:r w:rsidR="005B2FE8" w:rsidRPr="00D67D50">
        <w:rPr>
          <w:rFonts w:ascii="Arial" w:hAnsi="Arial" w:cs="Arial"/>
        </w:rPr>
        <w:t>C</w:t>
      </w:r>
      <w:r w:rsidR="00120F7C" w:rsidRPr="00D67D50">
        <w:rPr>
          <w:rFonts w:ascii="Arial" w:hAnsi="Arial" w:cs="Arial"/>
        </w:rPr>
        <w:t>lubs seeking m</w:t>
      </w:r>
      <w:r w:rsidR="002670DC" w:rsidRPr="00D67D50">
        <w:rPr>
          <w:rFonts w:ascii="Arial" w:hAnsi="Arial" w:cs="Arial"/>
        </w:rPr>
        <w:t>ore information on the programme</w:t>
      </w:r>
      <w:r w:rsidR="00120F7C" w:rsidRPr="00D67D50">
        <w:rPr>
          <w:rFonts w:ascii="Arial" w:hAnsi="Arial" w:cs="Arial"/>
        </w:rPr>
        <w:t xml:space="preserve"> should </w:t>
      </w:r>
      <w:r w:rsidR="00CB4ECF" w:rsidRPr="00D67D50">
        <w:rPr>
          <w:rFonts w:ascii="Arial" w:hAnsi="Arial" w:cs="Arial"/>
        </w:rPr>
        <w:t xml:space="preserve">either </w:t>
      </w:r>
      <w:r w:rsidR="00120F7C" w:rsidRPr="00D67D50">
        <w:rPr>
          <w:rFonts w:ascii="Arial" w:hAnsi="Arial" w:cs="Arial"/>
        </w:rPr>
        <w:t xml:space="preserve">contact their local County FA or visit </w:t>
      </w:r>
      <w:hyperlink r:id="rId8" w:history="1">
        <w:r w:rsidR="00375FF0" w:rsidRPr="003C08C5">
          <w:rPr>
            <w:rStyle w:val="Hyperlink"/>
            <w:rFonts w:ascii="Arial" w:hAnsi="Arial" w:cs="Arial"/>
          </w:rPr>
          <w:t>https://www.footballfoundation.org.uk/funding-schemes/stay-in-the-game/</w:t>
        </w:r>
      </w:hyperlink>
      <w:r w:rsidR="002C2E2C" w:rsidRPr="00D67D50">
        <w:rPr>
          <w:rFonts w:ascii="Arial" w:hAnsi="Arial" w:cs="Arial"/>
        </w:rPr>
        <w:t xml:space="preserve">. </w:t>
      </w:r>
    </w:p>
    <w:p w14:paraId="120A0252" w14:textId="77777777" w:rsidR="00F37C2D" w:rsidRPr="00D67D50" w:rsidRDefault="00F37C2D" w:rsidP="00120F7C">
      <w:pPr>
        <w:rPr>
          <w:rFonts w:ascii="Arial" w:hAnsi="Arial" w:cs="Arial"/>
        </w:rPr>
      </w:pPr>
    </w:p>
    <w:p w14:paraId="75A0C5D4" w14:textId="77D366F5" w:rsidR="00131E28" w:rsidRDefault="00375FF0" w:rsidP="00120F7C">
      <w:pPr>
        <w:rPr>
          <w:rFonts w:ascii="Arial" w:hAnsi="Arial" w:cs="Arial"/>
        </w:rPr>
      </w:pPr>
      <w:r w:rsidRPr="00BF5B08">
        <w:rPr>
          <w:rFonts w:ascii="Arial" w:hAnsi="Arial" w:cs="Arial"/>
          <w:i/>
        </w:rPr>
        <w:t>Stay in</w:t>
      </w:r>
      <w:r w:rsidR="00C5332B" w:rsidRPr="00BF5B08">
        <w:rPr>
          <w:rFonts w:ascii="Arial" w:hAnsi="Arial" w:cs="Arial"/>
          <w:i/>
        </w:rPr>
        <w:t xml:space="preserve"> </w:t>
      </w:r>
      <w:r w:rsidR="005F33F2" w:rsidRPr="00BF5B08">
        <w:rPr>
          <w:rFonts w:ascii="Arial" w:hAnsi="Arial" w:cs="Arial"/>
          <w:i/>
        </w:rPr>
        <w:t>the Game</w:t>
      </w:r>
      <w:r w:rsidR="005F33F2">
        <w:rPr>
          <w:rFonts w:ascii="Arial" w:hAnsi="Arial" w:cs="Arial"/>
        </w:rPr>
        <w:t xml:space="preserve"> is inclusive of players from different</w:t>
      </w:r>
      <w:r w:rsidR="00C5332B">
        <w:rPr>
          <w:rFonts w:ascii="Arial" w:hAnsi="Arial" w:cs="Arial"/>
        </w:rPr>
        <w:t xml:space="preserve"> ethnic backgrounds, faiths and</w:t>
      </w:r>
      <w:r w:rsidR="005F33F2">
        <w:rPr>
          <w:rFonts w:ascii="Arial" w:hAnsi="Arial" w:cs="Arial"/>
        </w:rPr>
        <w:t xml:space="preserve"> sexual orientations. </w:t>
      </w:r>
      <w:r w:rsidR="00F37C2D">
        <w:rPr>
          <w:rFonts w:ascii="Arial" w:hAnsi="Arial" w:cs="Arial"/>
        </w:rPr>
        <w:t xml:space="preserve"> </w:t>
      </w:r>
    </w:p>
    <w:p w14:paraId="33D23DB8" w14:textId="77777777" w:rsidR="000F2E06" w:rsidRDefault="000F2E06" w:rsidP="000F2E06">
      <w:pPr>
        <w:rPr>
          <w:rFonts w:ascii="Arial" w:hAnsi="Arial" w:cs="Arial"/>
          <w:highlight w:val="yellow"/>
        </w:rPr>
      </w:pPr>
    </w:p>
    <w:p w14:paraId="23967E4F" w14:textId="0657FAC0" w:rsidR="00C5332B" w:rsidRPr="00161926" w:rsidRDefault="00161926" w:rsidP="000F2E06">
      <w:pPr>
        <w:rPr>
          <w:rFonts w:ascii="Arial" w:hAnsi="Arial" w:cs="Arial"/>
        </w:rPr>
      </w:pPr>
      <w:r w:rsidRPr="00161926">
        <w:rPr>
          <w:rFonts w:ascii="Arial" w:hAnsi="Arial" w:cs="Arial"/>
          <w:bCs/>
          <w:iCs/>
        </w:rPr>
        <w:t xml:space="preserve">This push to reverse the decline in adult male </w:t>
      </w:r>
      <w:r w:rsidR="003679BC">
        <w:rPr>
          <w:rFonts w:ascii="Arial" w:hAnsi="Arial" w:cs="Arial"/>
          <w:bCs/>
          <w:iCs/>
        </w:rPr>
        <w:t>teams</w:t>
      </w:r>
      <w:r w:rsidRPr="00161926">
        <w:rPr>
          <w:rFonts w:ascii="Arial" w:hAnsi="Arial" w:cs="Arial"/>
          <w:bCs/>
          <w:iCs/>
        </w:rPr>
        <w:t xml:space="preserve"> follows the recent </w:t>
      </w:r>
      <w:r w:rsidRPr="00BF5B08">
        <w:rPr>
          <w:rFonts w:ascii="Arial" w:hAnsi="Arial" w:cs="Arial"/>
          <w:bCs/>
          <w:i/>
          <w:iCs/>
        </w:rPr>
        <w:t>Grow the Game</w:t>
      </w:r>
      <w:r w:rsidRPr="00161926">
        <w:rPr>
          <w:rFonts w:ascii="Arial" w:hAnsi="Arial" w:cs="Arial"/>
          <w:bCs/>
          <w:iCs/>
        </w:rPr>
        <w:t xml:space="preserve"> funding </w:t>
      </w:r>
      <w:r w:rsidR="00F43FE2">
        <w:rPr>
          <w:rFonts w:ascii="Arial" w:hAnsi="Arial" w:cs="Arial"/>
          <w:bCs/>
          <w:iCs/>
        </w:rPr>
        <w:t>scheme</w:t>
      </w:r>
      <w:r w:rsidRPr="00161926">
        <w:rPr>
          <w:rFonts w:ascii="Arial" w:hAnsi="Arial" w:cs="Arial"/>
          <w:bCs/>
          <w:iCs/>
        </w:rPr>
        <w:t xml:space="preserve"> for </w:t>
      </w:r>
      <w:r w:rsidR="00375FF0">
        <w:rPr>
          <w:rFonts w:ascii="Arial" w:hAnsi="Arial" w:cs="Arial"/>
          <w:bCs/>
          <w:iCs/>
        </w:rPr>
        <w:t>2019</w:t>
      </w:r>
      <w:r w:rsidRPr="00161926">
        <w:rPr>
          <w:rFonts w:ascii="Arial" w:hAnsi="Arial" w:cs="Arial"/>
          <w:bCs/>
          <w:iCs/>
        </w:rPr>
        <w:t xml:space="preserve">, </w:t>
      </w:r>
      <w:r w:rsidR="009B6D50">
        <w:rPr>
          <w:rFonts w:ascii="Arial" w:hAnsi="Arial" w:cs="Arial"/>
          <w:bCs/>
          <w:iCs/>
        </w:rPr>
        <w:t xml:space="preserve">which </w:t>
      </w:r>
      <w:r w:rsidRPr="00161926">
        <w:rPr>
          <w:rFonts w:ascii="Arial" w:hAnsi="Arial" w:cs="Arial"/>
          <w:bCs/>
          <w:iCs/>
        </w:rPr>
        <w:t>made</w:t>
      </w:r>
      <w:r w:rsidR="009B6D50" w:rsidRPr="00161926">
        <w:rPr>
          <w:rFonts w:ascii="Arial" w:hAnsi="Arial" w:cs="Arial"/>
          <w:bCs/>
          <w:iCs/>
        </w:rPr>
        <w:t xml:space="preserve"> £1.5 million</w:t>
      </w:r>
      <w:r w:rsidR="009B6D50">
        <w:rPr>
          <w:rFonts w:ascii="Arial" w:hAnsi="Arial" w:cs="Arial"/>
          <w:bCs/>
          <w:iCs/>
        </w:rPr>
        <w:t xml:space="preserve"> available for</w:t>
      </w:r>
      <w:r w:rsidRPr="00161926">
        <w:rPr>
          <w:rFonts w:ascii="Arial" w:hAnsi="Arial" w:cs="Arial"/>
          <w:bCs/>
          <w:iCs/>
        </w:rPr>
        <w:t xml:space="preserve"> grassroots clubs looking t</w:t>
      </w:r>
      <w:r>
        <w:rPr>
          <w:rFonts w:ascii="Arial" w:hAnsi="Arial" w:cs="Arial"/>
          <w:bCs/>
          <w:iCs/>
        </w:rPr>
        <w:t>o create new women and girls or</w:t>
      </w:r>
      <w:r w:rsidRPr="00161926">
        <w:rPr>
          <w:rFonts w:ascii="Arial" w:hAnsi="Arial" w:cs="Arial"/>
          <w:bCs/>
          <w:iCs/>
        </w:rPr>
        <w:t xml:space="preserve"> disability football teams.</w:t>
      </w:r>
      <w:r w:rsidR="00951243">
        <w:rPr>
          <w:rFonts w:ascii="Arial" w:hAnsi="Arial" w:cs="Arial"/>
          <w:bCs/>
          <w:iCs/>
        </w:rPr>
        <w:t xml:space="preserve"> </w:t>
      </w:r>
    </w:p>
    <w:p w14:paraId="5F785498" w14:textId="77777777" w:rsidR="00E96A77" w:rsidRDefault="00E96A77" w:rsidP="003F67EE">
      <w:pPr>
        <w:rPr>
          <w:rFonts w:ascii="Arial" w:hAnsi="Arial" w:cs="Arial"/>
        </w:rPr>
      </w:pPr>
    </w:p>
    <w:p w14:paraId="6EC18DCB" w14:textId="7A6A41D4" w:rsidR="00237DFA" w:rsidRDefault="00237DFA" w:rsidP="00237D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well as </w:t>
      </w:r>
      <w:r w:rsidRPr="00BF5B08">
        <w:rPr>
          <w:rFonts w:ascii="Arial" w:hAnsi="Arial" w:cs="Arial"/>
          <w:i/>
        </w:rPr>
        <w:t>Grow the Game</w:t>
      </w:r>
      <w:r>
        <w:rPr>
          <w:rFonts w:ascii="Arial" w:hAnsi="Arial" w:cs="Arial"/>
        </w:rPr>
        <w:t xml:space="preserve">, the Football Foundation uses investment from </w:t>
      </w:r>
      <w:r w:rsidR="003679B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Premier League, The FA and the Government, through Sport England, to provide enhanced sporting facilities across the country. Since </w:t>
      </w:r>
      <w:r w:rsidRPr="00BC003D">
        <w:rPr>
          <w:rFonts w:ascii="Arial" w:hAnsi="Arial" w:cs="Arial"/>
        </w:rPr>
        <w:t xml:space="preserve">2000, the </w:t>
      </w:r>
      <w:r>
        <w:rPr>
          <w:rFonts w:ascii="Arial" w:hAnsi="Arial" w:cs="Arial"/>
        </w:rPr>
        <w:t>Foundation has supported over 16</w:t>
      </w:r>
      <w:r w:rsidRPr="00BC003D">
        <w:rPr>
          <w:rFonts w:ascii="Arial" w:hAnsi="Arial" w:cs="Arial"/>
        </w:rPr>
        <w:t>,</w:t>
      </w:r>
      <w:r>
        <w:rPr>
          <w:rFonts w:ascii="Arial" w:hAnsi="Arial" w:cs="Arial"/>
        </w:rPr>
        <w:t>5</w:t>
      </w:r>
      <w:r w:rsidRPr="00BC003D">
        <w:rPr>
          <w:rFonts w:ascii="Arial" w:hAnsi="Arial" w:cs="Arial"/>
        </w:rPr>
        <w:t>00 grassroo</w:t>
      </w:r>
      <w:r>
        <w:rPr>
          <w:rFonts w:ascii="Arial" w:hAnsi="Arial" w:cs="Arial"/>
        </w:rPr>
        <w:t xml:space="preserve">ts projects worth more than £1.5bn. </w:t>
      </w:r>
    </w:p>
    <w:p w14:paraId="3B4A20C1" w14:textId="77777777" w:rsidR="00EC4D1B" w:rsidRDefault="00EC4D1B" w:rsidP="008445B3">
      <w:pPr>
        <w:rPr>
          <w:rFonts w:ascii="Arial" w:hAnsi="Arial" w:cs="Arial"/>
        </w:rPr>
      </w:pPr>
    </w:p>
    <w:p w14:paraId="25D77072" w14:textId="77777777" w:rsidR="00C65E8C" w:rsidRDefault="00C65E8C" w:rsidP="00C65E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ENDS</w:t>
      </w:r>
    </w:p>
    <w:p w14:paraId="55018135" w14:textId="77777777" w:rsidR="00C65E8C" w:rsidRDefault="00C65E8C" w:rsidP="00C65E8C">
      <w:pPr>
        <w:jc w:val="center"/>
        <w:rPr>
          <w:rFonts w:ascii="Arial" w:hAnsi="Arial" w:cs="Arial"/>
        </w:rPr>
      </w:pPr>
    </w:p>
    <w:p w14:paraId="35C6A625" w14:textId="77777777" w:rsidR="008F1D3A" w:rsidRDefault="00C65E8C" w:rsidP="008F1D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9B6A69">
        <w:rPr>
          <w:rFonts w:ascii="Arial" w:hAnsi="Arial" w:cs="Arial"/>
        </w:rPr>
        <w:t>media enquires</w:t>
      </w:r>
      <w:r w:rsidR="00FA4E48">
        <w:rPr>
          <w:rFonts w:ascii="Arial" w:hAnsi="Arial" w:cs="Arial"/>
        </w:rPr>
        <w:t xml:space="preserve"> only</w:t>
      </w:r>
      <w:r w:rsidR="009B6A69">
        <w:rPr>
          <w:rFonts w:ascii="Arial" w:hAnsi="Arial" w:cs="Arial"/>
        </w:rPr>
        <w:t xml:space="preserve">, please </w:t>
      </w:r>
      <w:r w:rsidR="008F1D3A">
        <w:rPr>
          <w:rFonts w:ascii="Arial" w:hAnsi="Arial" w:cs="Arial"/>
        </w:rPr>
        <w:t>contact:</w:t>
      </w:r>
    </w:p>
    <w:p w14:paraId="20E0B5C1" w14:textId="77777777" w:rsidR="008F1D3A" w:rsidRDefault="008F1D3A" w:rsidP="008F1D3A">
      <w:pPr>
        <w:rPr>
          <w:rFonts w:ascii="Arial" w:hAnsi="Arial" w:cs="Arial"/>
        </w:rPr>
      </w:pPr>
    </w:p>
    <w:p w14:paraId="67A97E8F" w14:textId="58A686B1" w:rsidR="00C65E8C" w:rsidRPr="005F33F2" w:rsidRDefault="002E1758" w:rsidP="005F33F2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Dan King</w:t>
      </w:r>
      <w:r w:rsidR="008D7B31">
        <w:rPr>
          <w:rFonts w:ascii="Arial" w:hAnsi="Arial" w:cs="Arial"/>
        </w:rPr>
        <w:t>, Football Foundation,</w:t>
      </w:r>
      <w:r w:rsidR="008F1D3A" w:rsidRPr="005F33F2">
        <w:rPr>
          <w:rFonts w:ascii="Arial" w:hAnsi="Arial" w:cs="Arial"/>
        </w:rPr>
        <w:t xml:space="preserve"> </w:t>
      </w:r>
      <w:r w:rsidR="00BC003D" w:rsidRPr="005F33F2">
        <w:rPr>
          <w:rFonts w:ascii="Arial" w:hAnsi="Arial" w:cs="Arial"/>
        </w:rPr>
        <w:t>on 03</w:t>
      </w:r>
      <w:r w:rsidR="00A31D72" w:rsidRPr="005F33F2">
        <w:rPr>
          <w:rFonts w:ascii="Arial" w:hAnsi="Arial" w:cs="Arial"/>
        </w:rPr>
        <w:t xml:space="preserve">45 </w:t>
      </w:r>
      <w:r w:rsidR="008F1D3A" w:rsidRPr="005F33F2">
        <w:rPr>
          <w:rFonts w:ascii="Arial" w:hAnsi="Arial" w:cs="Arial"/>
        </w:rPr>
        <w:t>345 4555 Ext: 427</w:t>
      </w:r>
      <w:r>
        <w:rPr>
          <w:rFonts w:ascii="Arial" w:hAnsi="Arial" w:cs="Arial"/>
        </w:rPr>
        <w:t>5</w:t>
      </w:r>
      <w:r w:rsidR="00C65E8C" w:rsidRPr="005F33F2">
        <w:rPr>
          <w:rFonts w:ascii="Arial" w:hAnsi="Arial" w:cs="Arial"/>
        </w:rPr>
        <w:t xml:space="preserve"> or</w:t>
      </w:r>
      <w:r w:rsidR="008F1D3A" w:rsidRPr="005F33F2">
        <w:rPr>
          <w:rFonts w:ascii="Arial" w:hAnsi="Arial" w:cs="Arial"/>
        </w:rPr>
        <w:t xml:space="preserve"> </w:t>
      </w:r>
      <w:hyperlink r:id="rId9" w:history="1">
        <w:r w:rsidR="00A7303B" w:rsidRPr="003C08C5">
          <w:rPr>
            <w:rStyle w:val="Hyperlink"/>
            <w:rFonts w:ascii="Arial" w:hAnsi="Arial" w:cs="Arial"/>
          </w:rPr>
          <w:t>daniel.king@footballfoundation.org.uk</w:t>
        </w:r>
      </w:hyperlink>
      <w:r w:rsidR="008F1D3A" w:rsidRPr="005F33F2">
        <w:rPr>
          <w:rFonts w:ascii="Arial" w:hAnsi="Arial" w:cs="Arial"/>
        </w:rPr>
        <w:t xml:space="preserve"> </w:t>
      </w:r>
      <w:r w:rsidR="00C65E8C" w:rsidRPr="005F33F2">
        <w:rPr>
          <w:rFonts w:ascii="Arial" w:hAnsi="Arial" w:cs="Arial"/>
        </w:rPr>
        <w:t xml:space="preserve"> </w:t>
      </w:r>
    </w:p>
    <w:p w14:paraId="6C691ECB" w14:textId="77777777" w:rsidR="00580FF2" w:rsidRPr="009B6D50" w:rsidRDefault="00580FF2" w:rsidP="009B6D50">
      <w:pPr>
        <w:rPr>
          <w:rFonts w:ascii="Arial" w:hAnsi="Arial" w:cs="Arial"/>
        </w:rPr>
      </w:pPr>
    </w:p>
    <w:p w14:paraId="17CF52B3" w14:textId="77777777" w:rsidR="00BB1128" w:rsidRPr="00EE7019" w:rsidRDefault="0032113D" w:rsidP="00C65E8C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942BB67" wp14:editId="401C3D6D">
            <wp:simplePos x="0" y="0"/>
            <wp:positionH relativeFrom="margin">
              <wp:posOffset>-382270</wp:posOffset>
            </wp:positionH>
            <wp:positionV relativeFrom="margin">
              <wp:posOffset>8455660</wp:posOffset>
            </wp:positionV>
            <wp:extent cx="2743200" cy="942340"/>
            <wp:effectExtent l="0" t="0" r="0" b="0"/>
            <wp:wrapSquare wrapText="bothSides"/>
            <wp:docPr id="4" name="Picture 4" descr="\\fbf-nt01\NDrive\Comms and External Relations\Marketing\Logos\Funded Programmes\FA For All\FA_FOR_ALL_FOOTBALL_FOUNDATION\JPG\FA_FOOTBALL_FOUNDATION_4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bf-nt01\NDrive\Comms and External Relations\Marketing\Logos\Funded Programmes\FA For All\FA_FOR_ALL_FOOTBALL_FOUNDATION\JPG\FA_FOOTBALL_FOUNDATION_4C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FF2">
        <w:rPr>
          <w:rFonts w:ascii="Arial" w:hAnsi="Arial" w:cs="Arial"/>
        </w:rPr>
        <w:t>Tom Everett, The FA, on 0844 980 8200 Ext: 4684</w:t>
      </w:r>
      <w:r w:rsidR="00580FF2" w:rsidRPr="00580FF2">
        <w:rPr>
          <w:rFonts w:ascii="Arial" w:hAnsi="Arial" w:cs="Arial"/>
        </w:rPr>
        <w:t xml:space="preserve"> or</w:t>
      </w:r>
      <w:r w:rsidR="00580FF2">
        <w:rPr>
          <w:rFonts w:ascii="Arial" w:hAnsi="Arial" w:cs="Arial"/>
        </w:rPr>
        <w:t xml:space="preserve"> </w:t>
      </w:r>
      <w:r w:rsidR="00580FF2">
        <w:rPr>
          <w:rFonts w:ascii="Arial" w:hAnsi="Arial" w:cs="Arial"/>
        </w:rPr>
        <w:br/>
      </w:r>
      <w:hyperlink r:id="rId10" w:history="1">
        <w:r w:rsidR="00580FF2" w:rsidRPr="007A7236">
          <w:rPr>
            <w:rStyle w:val="Hyperlink"/>
            <w:rFonts w:ascii="Arial" w:hAnsi="Arial" w:cs="Arial"/>
          </w:rPr>
          <w:t>tom.everett@thefa.com</w:t>
        </w:r>
      </w:hyperlink>
    </w:p>
    <w:sectPr w:rsidR="00BB1128" w:rsidRPr="00EE7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0C8"/>
    <w:multiLevelType w:val="hybridMultilevel"/>
    <w:tmpl w:val="CAD02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5CDC"/>
    <w:multiLevelType w:val="hybridMultilevel"/>
    <w:tmpl w:val="57B29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41620"/>
    <w:multiLevelType w:val="hybridMultilevel"/>
    <w:tmpl w:val="8B744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883"/>
    <w:multiLevelType w:val="hybridMultilevel"/>
    <w:tmpl w:val="B7E44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36083"/>
    <w:multiLevelType w:val="hybridMultilevel"/>
    <w:tmpl w:val="7CBCA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343E0"/>
    <w:multiLevelType w:val="hybridMultilevel"/>
    <w:tmpl w:val="1B26DBA2"/>
    <w:lvl w:ilvl="0" w:tplc="8A1CEB36">
      <w:numFmt w:val="bullet"/>
      <w:lvlText w:val="•"/>
      <w:lvlJc w:val="left"/>
      <w:pPr>
        <w:ind w:left="1185" w:hanging="82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A38D9"/>
    <w:multiLevelType w:val="hybridMultilevel"/>
    <w:tmpl w:val="59E88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3880"/>
    <w:multiLevelType w:val="hybridMultilevel"/>
    <w:tmpl w:val="8D824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149BB"/>
    <w:multiLevelType w:val="hybridMultilevel"/>
    <w:tmpl w:val="9DCC1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B1913"/>
    <w:multiLevelType w:val="hybridMultilevel"/>
    <w:tmpl w:val="64C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21B"/>
    <w:multiLevelType w:val="hybridMultilevel"/>
    <w:tmpl w:val="3C807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64E85"/>
    <w:multiLevelType w:val="hybridMultilevel"/>
    <w:tmpl w:val="2E1C3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67C43"/>
    <w:multiLevelType w:val="hybridMultilevel"/>
    <w:tmpl w:val="F74A9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F16FF"/>
    <w:multiLevelType w:val="hybridMultilevel"/>
    <w:tmpl w:val="ED94E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1471D"/>
    <w:multiLevelType w:val="hybridMultilevel"/>
    <w:tmpl w:val="DB42F7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6EE00EC"/>
    <w:multiLevelType w:val="hybridMultilevel"/>
    <w:tmpl w:val="3BDE1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B6679"/>
    <w:multiLevelType w:val="hybridMultilevel"/>
    <w:tmpl w:val="DF263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20BD9"/>
    <w:multiLevelType w:val="hybridMultilevel"/>
    <w:tmpl w:val="748EE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32F6D"/>
    <w:multiLevelType w:val="hybridMultilevel"/>
    <w:tmpl w:val="3888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F571C"/>
    <w:multiLevelType w:val="hybridMultilevel"/>
    <w:tmpl w:val="25A20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80CDE"/>
    <w:multiLevelType w:val="hybridMultilevel"/>
    <w:tmpl w:val="9418C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B4670"/>
    <w:multiLevelType w:val="hybridMultilevel"/>
    <w:tmpl w:val="19DED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E0C85"/>
    <w:multiLevelType w:val="hybridMultilevel"/>
    <w:tmpl w:val="1884EF8A"/>
    <w:lvl w:ilvl="0" w:tplc="1F9CF4FE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249A7"/>
    <w:multiLevelType w:val="hybridMultilevel"/>
    <w:tmpl w:val="8A5A1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177C5"/>
    <w:multiLevelType w:val="hybridMultilevel"/>
    <w:tmpl w:val="1DF6A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D0089"/>
    <w:multiLevelType w:val="hybridMultilevel"/>
    <w:tmpl w:val="513CC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B13CC"/>
    <w:multiLevelType w:val="multilevel"/>
    <w:tmpl w:val="3B9C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BE49F7"/>
    <w:multiLevelType w:val="hybridMultilevel"/>
    <w:tmpl w:val="04080E58"/>
    <w:lvl w:ilvl="0" w:tplc="53CACDF0">
      <w:numFmt w:val="bullet"/>
      <w:lvlText w:val="•"/>
      <w:lvlJc w:val="left"/>
      <w:pPr>
        <w:ind w:left="1185" w:hanging="82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73209"/>
    <w:multiLevelType w:val="hybridMultilevel"/>
    <w:tmpl w:val="79147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CF2"/>
    <w:multiLevelType w:val="hybridMultilevel"/>
    <w:tmpl w:val="0E86A0D0"/>
    <w:lvl w:ilvl="0" w:tplc="DE62F6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B2403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2C7D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08D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C41A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2EA2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7002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8406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68CC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55E06"/>
    <w:multiLevelType w:val="hybridMultilevel"/>
    <w:tmpl w:val="CE786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A0947"/>
    <w:multiLevelType w:val="hybridMultilevel"/>
    <w:tmpl w:val="356CD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17"/>
  </w:num>
  <w:num w:numId="5">
    <w:abstractNumId w:val="19"/>
  </w:num>
  <w:num w:numId="6">
    <w:abstractNumId w:val="23"/>
  </w:num>
  <w:num w:numId="7">
    <w:abstractNumId w:val="16"/>
  </w:num>
  <w:num w:numId="8">
    <w:abstractNumId w:val="28"/>
  </w:num>
  <w:num w:numId="9">
    <w:abstractNumId w:val="13"/>
  </w:num>
  <w:num w:numId="10">
    <w:abstractNumId w:val="21"/>
  </w:num>
  <w:num w:numId="11">
    <w:abstractNumId w:val="22"/>
  </w:num>
  <w:num w:numId="12">
    <w:abstractNumId w:val="20"/>
  </w:num>
  <w:num w:numId="13">
    <w:abstractNumId w:val="1"/>
  </w:num>
  <w:num w:numId="14">
    <w:abstractNumId w:val="21"/>
  </w:num>
  <w:num w:numId="15">
    <w:abstractNumId w:val="18"/>
  </w:num>
  <w:num w:numId="16">
    <w:abstractNumId w:val="6"/>
  </w:num>
  <w:num w:numId="17">
    <w:abstractNumId w:val="31"/>
  </w:num>
  <w:num w:numId="18">
    <w:abstractNumId w:val="9"/>
  </w:num>
  <w:num w:numId="19">
    <w:abstractNumId w:val="7"/>
  </w:num>
  <w:num w:numId="20">
    <w:abstractNumId w:val="26"/>
  </w:num>
  <w:num w:numId="21">
    <w:abstractNumId w:val="0"/>
  </w:num>
  <w:num w:numId="22">
    <w:abstractNumId w:val="3"/>
  </w:num>
  <w:num w:numId="23">
    <w:abstractNumId w:val="5"/>
  </w:num>
  <w:num w:numId="24">
    <w:abstractNumId w:val="4"/>
  </w:num>
  <w:num w:numId="25">
    <w:abstractNumId w:val="27"/>
  </w:num>
  <w:num w:numId="26">
    <w:abstractNumId w:val="24"/>
  </w:num>
  <w:num w:numId="27">
    <w:abstractNumId w:val="2"/>
  </w:num>
  <w:num w:numId="28">
    <w:abstractNumId w:val="10"/>
  </w:num>
  <w:num w:numId="29">
    <w:abstractNumId w:val="25"/>
  </w:num>
  <w:num w:numId="30">
    <w:abstractNumId w:val="14"/>
  </w:num>
  <w:num w:numId="31">
    <w:abstractNumId w:val="29"/>
  </w:num>
  <w:num w:numId="32">
    <w:abstractNumId w:val="3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26"/>
    <w:rsid w:val="00012348"/>
    <w:rsid w:val="00012BA3"/>
    <w:rsid w:val="00052B4A"/>
    <w:rsid w:val="00083C40"/>
    <w:rsid w:val="000840C9"/>
    <w:rsid w:val="000D044A"/>
    <w:rsid w:val="000E2395"/>
    <w:rsid w:val="000F2E06"/>
    <w:rsid w:val="00101DAB"/>
    <w:rsid w:val="00120F7C"/>
    <w:rsid w:val="00131E28"/>
    <w:rsid w:val="00133E5F"/>
    <w:rsid w:val="001344DD"/>
    <w:rsid w:val="001406BE"/>
    <w:rsid w:val="00142878"/>
    <w:rsid w:val="00147F6F"/>
    <w:rsid w:val="00152D3E"/>
    <w:rsid w:val="00161926"/>
    <w:rsid w:val="00165603"/>
    <w:rsid w:val="00166F96"/>
    <w:rsid w:val="00167F70"/>
    <w:rsid w:val="00182D22"/>
    <w:rsid w:val="001A6BDA"/>
    <w:rsid w:val="001B47BC"/>
    <w:rsid w:val="001C56EE"/>
    <w:rsid w:val="001D0A4A"/>
    <w:rsid w:val="001D429B"/>
    <w:rsid w:val="001D4F84"/>
    <w:rsid w:val="001E3498"/>
    <w:rsid w:val="00202DA2"/>
    <w:rsid w:val="00206D8E"/>
    <w:rsid w:val="00217520"/>
    <w:rsid w:val="00237DFA"/>
    <w:rsid w:val="002670DC"/>
    <w:rsid w:val="0027270F"/>
    <w:rsid w:val="00272EF0"/>
    <w:rsid w:val="002A19F1"/>
    <w:rsid w:val="002C16AF"/>
    <w:rsid w:val="002C2E2C"/>
    <w:rsid w:val="002C6E5D"/>
    <w:rsid w:val="002D0AB5"/>
    <w:rsid w:val="002E104F"/>
    <w:rsid w:val="002E1758"/>
    <w:rsid w:val="002E7C22"/>
    <w:rsid w:val="00316C64"/>
    <w:rsid w:val="0032113D"/>
    <w:rsid w:val="00332896"/>
    <w:rsid w:val="00333CDD"/>
    <w:rsid w:val="0033782F"/>
    <w:rsid w:val="00352FB0"/>
    <w:rsid w:val="00363B23"/>
    <w:rsid w:val="003679BC"/>
    <w:rsid w:val="00375FF0"/>
    <w:rsid w:val="003C1585"/>
    <w:rsid w:val="003C1B68"/>
    <w:rsid w:val="003C40D9"/>
    <w:rsid w:val="003C5F5C"/>
    <w:rsid w:val="003D16C0"/>
    <w:rsid w:val="003E09AA"/>
    <w:rsid w:val="003F67EE"/>
    <w:rsid w:val="004072AA"/>
    <w:rsid w:val="00436D99"/>
    <w:rsid w:val="00443167"/>
    <w:rsid w:val="00447D81"/>
    <w:rsid w:val="004637E8"/>
    <w:rsid w:val="00470623"/>
    <w:rsid w:val="00491B1E"/>
    <w:rsid w:val="004A278F"/>
    <w:rsid w:val="004B0188"/>
    <w:rsid w:val="004C794C"/>
    <w:rsid w:val="004D0290"/>
    <w:rsid w:val="004E5215"/>
    <w:rsid w:val="004E7ADD"/>
    <w:rsid w:val="004F4FBC"/>
    <w:rsid w:val="00514975"/>
    <w:rsid w:val="005342B0"/>
    <w:rsid w:val="00546D07"/>
    <w:rsid w:val="0055318C"/>
    <w:rsid w:val="005537EA"/>
    <w:rsid w:val="00554282"/>
    <w:rsid w:val="0056331A"/>
    <w:rsid w:val="00577A73"/>
    <w:rsid w:val="00580FF2"/>
    <w:rsid w:val="005907D2"/>
    <w:rsid w:val="005B2FE8"/>
    <w:rsid w:val="005B3110"/>
    <w:rsid w:val="005D421A"/>
    <w:rsid w:val="005D7965"/>
    <w:rsid w:val="005F33F2"/>
    <w:rsid w:val="00605732"/>
    <w:rsid w:val="006123F9"/>
    <w:rsid w:val="00614F0C"/>
    <w:rsid w:val="00625666"/>
    <w:rsid w:val="00632F5D"/>
    <w:rsid w:val="006B7005"/>
    <w:rsid w:val="006C6ACC"/>
    <w:rsid w:val="006D3414"/>
    <w:rsid w:val="006E0A5F"/>
    <w:rsid w:val="006E3F7F"/>
    <w:rsid w:val="006E7C85"/>
    <w:rsid w:val="006F6686"/>
    <w:rsid w:val="007074D4"/>
    <w:rsid w:val="00710771"/>
    <w:rsid w:val="00723125"/>
    <w:rsid w:val="00737867"/>
    <w:rsid w:val="00751988"/>
    <w:rsid w:val="0075215F"/>
    <w:rsid w:val="0078029C"/>
    <w:rsid w:val="0078595D"/>
    <w:rsid w:val="00796A41"/>
    <w:rsid w:val="007A629E"/>
    <w:rsid w:val="007A77C8"/>
    <w:rsid w:val="007C74B8"/>
    <w:rsid w:val="007D6F8D"/>
    <w:rsid w:val="007F2807"/>
    <w:rsid w:val="00803A5C"/>
    <w:rsid w:val="00805162"/>
    <w:rsid w:val="008068E7"/>
    <w:rsid w:val="00811591"/>
    <w:rsid w:val="00816F26"/>
    <w:rsid w:val="00835EC0"/>
    <w:rsid w:val="008445B3"/>
    <w:rsid w:val="00851276"/>
    <w:rsid w:val="00861744"/>
    <w:rsid w:val="00876018"/>
    <w:rsid w:val="008945EF"/>
    <w:rsid w:val="008965C9"/>
    <w:rsid w:val="00897102"/>
    <w:rsid w:val="00897D4F"/>
    <w:rsid w:val="008B33A7"/>
    <w:rsid w:val="008C7624"/>
    <w:rsid w:val="008D47AE"/>
    <w:rsid w:val="008D5BA1"/>
    <w:rsid w:val="008D7B31"/>
    <w:rsid w:val="008E3DEF"/>
    <w:rsid w:val="008F1D3A"/>
    <w:rsid w:val="00900411"/>
    <w:rsid w:val="00914545"/>
    <w:rsid w:val="00916F39"/>
    <w:rsid w:val="00932E95"/>
    <w:rsid w:val="00936431"/>
    <w:rsid w:val="0093690D"/>
    <w:rsid w:val="0094677C"/>
    <w:rsid w:val="00947354"/>
    <w:rsid w:val="009479E4"/>
    <w:rsid w:val="00951243"/>
    <w:rsid w:val="00975C2E"/>
    <w:rsid w:val="0099553C"/>
    <w:rsid w:val="00995D15"/>
    <w:rsid w:val="009B6A69"/>
    <w:rsid w:val="009B6D50"/>
    <w:rsid w:val="00A044B6"/>
    <w:rsid w:val="00A04CFF"/>
    <w:rsid w:val="00A210AB"/>
    <w:rsid w:val="00A31D72"/>
    <w:rsid w:val="00A46B7B"/>
    <w:rsid w:val="00A507E9"/>
    <w:rsid w:val="00A7303B"/>
    <w:rsid w:val="00A74C48"/>
    <w:rsid w:val="00A9745A"/>
    <w:rsid w:val="00AA7D42"/>
    <w:rsid w:val="00AB0C35"/>
    <w:rsid w:val="00AB3027"/>
    <w:rsid w:val="00AB7B23"/>
    <w:rsid w:val="00AC4E2F"/>
    <w:rsid w:val="00AC5619"/>
    <w:rsid w:val="00B07CCB"/>
    <w:rsid w:val="00B134B9"/>
    <w:rsid w:val="00B2338A"/>
    <w:rsid w:val="00B33DE2"/>
    <w:rsid w:val="00B46B5D"/>
    <w:rsid w:val="00B47F4A"/>
    <w:rsid w:val="00B52895"/>
    <w:rsid w:val="00B5596B"/>
    <w:rsid w:val="00B7613A"/>
    <w:rsid w:val="00B81EE9"/>
    <w:rsid w:val="00B864C1"/>
    <w:rsid w:val="00B95264"/>
    <w:rsid w:val="00BA5931"/>
    <w:rsid w:val="00BB1128"/>
    <w:rsid w:val="00BC003D"/>
    <w:rsid w:val="00BC4573"/>
    <w:rsid w:val="00BF5B08"/>
    <w:rsid w:val="00BF716A"/>
    <w:rsid w:val="00C06E8F"/>
    <w:rsid w:val="00C2681A"/>
    <w:rsid w:val="00C40F1A"/>
    <w:rsid w:val="00C5332B"/>
    <w:rsid w:val="00C64C22"/>
    <w:rsid w:val="00C65E8C"/>
    <w:rsid w:val="00C71C54"/>
    <w:rsid w:val="00C77DD3"/>
    <w:rsid w:val="00C92683"/>
    <w:rsid w:val="00CA1AE1"/>
    <w:rsid w:val="00CB4ECF"/>
    <w:rsid w:val="00CC0461"/>
    <w:rsid w:val="00CD538A"/>
    <w:rsid w:val="00CD71AA"/>
    <w:rsid w:val="00CE633F"/>
    <w:rsid w:val="00D0413C"/>
    <w:rsid w:val="00D131EE"/>
    <w:rsid w:val="00D67D50"/>
    <w:rsid w:val="00D71329"/>
    <w:rsid w:val="00D713F6"/>
    <w:rsid w:val="00D9327C"/>
    <w:rsid w:val="00D9674C"/>
    <w:rsid w:val="00DB49C3"/>
    <w:rsid w:val="00DC6AC1"/>
    <w:rsid w:val="00DE0ADF"/>
    <w:rsid w:val="00DF5288"/>
    <w:rsid w:val="00E118CC"/>
    <w:rsid w:val="00E12BEC"/>
    <w:rsid w:val="00E4628D"/>
    <w:rsid w:val="00E51B8E"/>
    <w:rsid w:val="00E567DB"/>
    <w:rsid w:val="00E66950"/>
    <w:rsid w:val="00E75542"/>
    <w:rsid w:val="00E8077C"/>
    <w:rsid w:val="00E96A77"/>
    <w:rsid w:val="00EA6D0E"/>
    <w:rsid w:val="00EB1D1B"/>
    <w:rsid w:val="00EB539F"/>
    <w:rsid w:val="00EC4D1B"/>
    <w:rsid w:val="00ED2879"/>
    <w:rsid w:val="00EE7019"/>
    <w:rsid w:val="00EF1E1C"/>
    <w:rsid w:val="00F14E5A"/>
    <w:rsid w:val="00F17B8C"/>
    <w:rsid w:val="00F35171"/>
    <w:rsid w:val="00F37C2D"/>
    <w:rsid w:val="00F43FE2"/>
    <w:rsid w:val="00F4545C"/>
    <w:rsid w:val="00F711A7"/>
    <w:rsid w:val="00F76302"/>
    <w:rsid w:val="00F777A5"/>
    <w:rsid w:val="00F8237B"/>
    <w:rsid w:val="00FA4E48"/>
    <w:rsid w:val="00FA66B2"/>
    <w:rsid w:val="00FA69BE"/>
    <w:rsid w:val="00FC7B87"/>
    <w:rsid w:val="00FE6E22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FD25"/>
  <w15:docId w15:val="{227B2171-2243-4083-B2F4-877ECCB6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E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2F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94C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6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6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6B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6B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D3A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52D3E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73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54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5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6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2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4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58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80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4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72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394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tballfoundation.org.uk/funding-schemes/stay-in-the-game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om.everett@thef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.king@footballfoundati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6DD4-CBCE-43F1-9332-20258B15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8A11C47F</Template>
  <TotalTime>2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Football Foundation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Bermingham-Shaw</dc:creator>
  <cp:lastModifiedBy>Daniel King</cp:lastModifiedBy>
  <cp:revision>8</cp:revision>
  <cp:lastPrinted>2018-04-04T15:48:00Z</cp:lastPrinted>
  <dcterms:created xsi:type="dcterms:W3CDTF">2019-03-29T13:44:00Z</dcterms:created>
  <dcterms:modified xsi:type="dcterms:W3CDTF">2019-04-01T10:52:00Z</dcterms:modified>
</cp:coreProperties>
</file>