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FA710" w14:textId="27F16F31" w:rsidR="009B5123" w:rsidRPr="007E7FDC" w:rsidRDefault="002F55DD" w:rsidP="002F55DD">
      <w:pPr>
        <w:jc w:val="center"/>
        <w:rPr>
          <w:rFonts w:ascii="Arial" w:hAnsi="Arial" w:cs="Arial"/>
          <w:b/>
          <w:bCs/>
        </w:rPr>
      </w:pPr>
      <w:r w:rsidRPr="007E7FDC">
        <w:rPr>
          <w:rFonts w:ascii="Arial" w:hAnsi="Arial" w:cs="Arial"/>
          <w:b/>
          <w:bCs/>
        </w:rPr>
        <w:t>Role Profile</w:t>
      </w:r>
    </w:p>
    <w:tbl>
      <w:tblPr>
        <w:tblStyle w:val="TableGrid"/>
        <w:tblW w:w="16019" w:type="dxa"/>
        <w:tblInd w:w="-289" w:type="dxa"/>
        <w:tblLook w:val="04A0" w:firstRow="1" w:lastRow="0" w:firstColumn="1" w:lastColumn="0" w:noHBand="0" w:noVBand="1"/>
      </w:tblPr>
      <w:tblGrid>
        <w:gridCol w:w="2254"/>
        <w:gridCol w:w="3984"/>
        <w:gridCol w:w="991"/>
        <w:gridCol w:w="2553"/>
        <w:gridCol w:w="6237"/>
      </w:tblGrid>
      <w:tr w:rsidR="00D30AFE" w:rsidRPr="007E7FDC" w14:paraId="1682D38D" w14:textId="77777777" w:rsidTr="003E5363">
        <w:tc>
          <w:tcPr>
            <w:tcW w:w="2254" w:type="dxa"/>
            <w:shd w:val="clear" w:color="auto" w:fill="E7E6E6" w:themeFill="background2"/>
          </w:tcPr>
          <w:p w14:paraId="19A89675" w14:textId="6F47C50F" w:rsidR="00D30AFE" w:rsidRPr="007E7FDC" w:rsidRDefault="00D30AFE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>Job title</w:t>
            </w:r>
          </w:p>
        </w:tc>
        <w:tc>
          <w:tcPr>
            <w:tcW w:w="13765" w:type="dxa"/>
            <w:gridSpan w:val="4"/>
          </w:tcPr>
          <w:p w14:paraId="22D9BF0B" w14:textId="24159D02" w:rsidR="00D30AFE" w:rsidRPr="007E7FDC" w:rsidRDefault="003B6627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 xml:space="preserve">RAF Football Association </w:t>
            </w:r>
            <w:r w:rsidR="00570631">
              <w:rPr>
                <w:rFonts w:ascii="Arial" w:hAnsi="Arial" w:cs="Arial"/>
              </w:rPr>
              <w:t>–</w:t>
            </w:r>
            <w:r w:rsidRPr="007E7FDC">
              <w:rPr>
                <w:rFonts w:ascii="Arial" w:hAnsi="Arial" w:cs="Arial"/>
              </w:rPr>
              <w:t xml:space="preserve"> </w:t>
            </w:r>
            <w:r w:rsidR="00570631">
              <w:rPr>
                <w:rFonts w:ascii="Arial" w:hAnsi="Arial" w:cs="Arial"/>
              </w:rPr>
              <w:t>Independent Non-Executive Director</w:t>
            </w:r>
          </w:p>
        </w:tc>
      </w:tr>
      <w:tr w:rsidR="002F55DD" w:rsidRPr="007E7FDC" w14:paraId="2513CC36" w14:textId="77777777" w:rsidTr="003E5363">
        <w:tc>
          <w:tcPr>
            <w:tcW w:w="2254" w:type="dxa"/>
            <w:shd w:val="clear" w:color="auto" w:fill="E7E6E6" w:themeFill="background2"/>
          </w:tcPr>
          <w:p w14:paraId="33FA97CC" w14:textId="7EF6DE88" w:rsidR="002F55DD" w:rsidRPr="007E7FDC" w:rsidRDefault="004F00C4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 xml:space="preserve">Reports to: </w:t>
            </w:r>
          </w:p>
        </w:tc>
        <w:tc>
          <w:tcPr>
            <w:tcW w:w="3984" w:type="dxa"/>
          </w:tcPr>
          <w:p w14:paraId="2F9E4334" w14:textId="0B2D1F8B" w:rsidR="002F55DD" w:rsidRPr="007E7FDC" w:rsidRDefault="002C7699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>Ch</w:t>
            </w:r>
            <w:r w:rsidR="00276671" w:rsidRPr="007E7FDC">
              <w:rPr>
                <w:rFonts w:ascii="Arial" w:hAnsi="Arial" w:cs="Arial"/>
              </w:rPr>
              <w:t>airman</w:t>
            </w:r>
          </w:p>
        </w:tc>
        <w:tc>
          <w:tcPr>
            <w:tcW w:w="3544" w:type="dxa"/>
            <w:gridSpan w:val="2"/>
            <w:shd w:val="clear" w:color="auto" w:fill="E7E6E6" w:themeFill="background2"/>
          </w:tcPr>
          <w:p w14:paraId="6584F06A" w14:textId="4D2B907B" w:rsidR="002F55DD" w:rsidRPr="007E7FDC" w:rsidRDefault="004F00C4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>Jobs Reporting into the Job Holder:</w:t>
            </w:r>
          </w:p>
        </w:tc>
        <w:tc>
          <w:tcPr>
            <w:tcW w:w="6237" w:type="dxa"/>
          </w:tcPr>
          <w:p w14:paraId="3807FA22" w14:textId="3C71BC35" w:rsidR="00A62C86" w:rsidRPr="007E7FDC" w:rsidRDefault="00570631" w:rsidP="00DC5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805C9F" w:rsidRPr="007E7FDC" w14:paraId="41CB693A" w14:textId="77777777" w:rsidTr="003E5363">
        <w:tc>
          <w:tcPr>
            <w:tcW w:w="16019" w:type="dxa"/>
            <w:gridSpan w:val="5"/>
            <w:shd w:val="clear" w:color="auto" w:fill="E7E6E6" w:themeFill="background2"/>
          </w:tcPr>
          <w:p w14:paraId="55413642" w14:textId="0B155B67" w:rsidR="00805C9F" w:rsidRPr="007E7FDC" w:rsidRDefault="00547D05" w:rsidP="006848B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Role</w:t>
            </w:r>
            <w:r w:rsidR="006848BE" w:rsidRPr="007E7FDC">
              <w:rPr>
                <w:rFonts w:ascii="Arial" w:hAnsi="Arial" w:cs="Arial"/>
                <w:b/>
                <w:bCs/>
              </w:rPr>
              <w:t xml:space="preserve"> Purpose</w:t>
            </w:r>
          </w:p>
        </w:tc>
      </w:tr>
      <w:tr w:rsidR="006848BE" w:rsidRPr="007E7FDC" w14:paraId="369C39BF" w14:textId="77777777" w:rsidTr="003E5363">
        <w:tc>
          <w:tcPr>
            <w:tcW w:w="16019" w:type="dxa"/>
            <w:gridSpan w:val="5"/>
          </w:tcPr>
          <w:p w14:paraId="4661F260" w14:textId="34B0D7C2" w:rsidR="008925A7" w:rsidRPr="007E7FDC" w:rsidRDefault="00884AC0" w:rsidP="008925A7">
            <w:p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 xml:space="preserve">To </w:t>
            </w:r>
            <w:r w:rsidR="008B67C3">
              <w:rPr>
                <w:rFonts w:ascii="Arial" w:hAnsi="Arial" w:cs="Arial"/>
              </w:rPr>
              <w:t xml:space="preserve">provide independent expert guidance and </w:t>
            </w:r>
            <w:r w:rsidR="00C63BDB">
              <w:rPr>
                <w:rFonts w:ascii="Arial" w:hAnsi="Arial" w:cs="Arial"/>
              </w:rPr>
              <w:t xml:space="preserve">support </w:t>
            </w:r>
            <w:r w:rsidR="008B67C3">
              <w:rPr>
                <w:rFonts w:ascii="Arial" w:hAnsi="Arial" w:cs="Arial"/>
              </w:rPr>
              <w:t xml:space="preserve">to </w:t>
            </w:r>
            <w:r w:rsidR="00C63BDB">
              <w:rPr>
                <w:rFonts w:ascii="Arial" w:hAnsi="Arial" w:cs="Arial"/>
              </w:rPr>
              <w:t xml:space="preserve">the RAFFA as it aims to </w:t>
            </w:r>
            <w:r w:rsidR="007F30FE" w:rsidRPr="007E7FDC">
              <w:rPr>
                <w:rFonts w:ascii="Arial" w:hAnsi="Arial" w:cs="Arial"/>
              </w:rPr>
              <w:t>deliver</w:t>
            </w:r>
            <w:r w:rsidRPr="007E7FDC">
              <w:rPr>
                <w:rFonts w:ascii="Arial" w:hAnsi="Arial" w:cs="Arial"/>
              </w:rPr>
              <w:t xml:space="preserve"> </w:t>
            </w:r>
            <w:r w:rsidR="00087374" w:rsidRPr="007E7FDC">
              <w:rPr>
                <w:rFonts w:ascii="Arial" w:hAnsi="Arial" w:cs="Arial"/>
              </w:rPr>
              <w:t>the RAF</w:t>
            </w:r>
            <w:r w:rsidRPr="007E7FDC">
              <w:rPr>
                <w:rFonts w:ascii="Arial" w:hAnsi="Arial" w:cs="Arial"/>
              </w:rPr>
              <w:t xml:space="preserve"> Football Association </w:t>
            </w:r>
            <w:r w:rsidR="007F30FE" w:rsidRPr="007E7FDC">
              <w:rPr>
                <w:rFonts w:ascii="Arial" w:hAnsi="Arial" w:cs="Arial"/>
              </w:rPr>
              <w:t xml:space="preserve">Strategy and </w:t>
            </w:r>
            <w:r w:rsidR="00E76039" w:rsidRPr="007E7FDC">
              <w:rPr>
                <w:rFonts w:ascii="Arial" w:hAnsi="Arial" w:cs="Arial"/>
              </w:rPr>
              <w:t>Vision and</w:t>
            </w:r>
            <w:r w:rsidR="00521DBD" w:rsidRPr="007E7FDC">
              <w:rPr>
                <w:rFonts w:ascii="Arial" w:hAnsi="Arial" w:cs="Arial"/>
              </w:rPr>
              <w:t xml:space="preserve"> meet the </w:t>
            </w:r>
            <w:r w:rsidR="002E1FDA" w:rsidRPr="007E7FDC">
              <w:rPr>
                <w:rFonts w:ascii="Arial" w:hAnsi="Arial" w:cs="Arial"/>
              </w:rPr>
              <w:t xml:space="preserve">(FA endorsed) </w:t>
            </w:r>
            <w:r w:rsidR="000C2382" w:rsidRPr="007E7FDC">
              <w:rPr>
                <w:rFonts w:ascii="Arial" w:hAnsi="Arial" w:cs="Arial"/>
              </w:rPr>
              <w:t>strategic o</w:t>
            </w:r>
            <w:r w:rsidR="002E1FDA" w:rsidRPr="007E7FDC">
              <w:rPr>
                <w:rFonts w:ascii="Arial" w:hAnsi="Arial" w:cs="Arial"/>
              </w:rPr>
              <w:t>bjectives cited</w:t>
            </w:r>
            <w:r w:rsidR="00D803B2" w:rsidRPr="007E7FDC">
              <w:rPr>
                <w:rFonts w:ascii="Arial" w:hAnsi="Arial" w:cs="Arial"/>
              </w:rPr>
              <w:t xml:space="preserve"> within the </w:t>
            </w:r>
            <w:r w:rsidR="00585072" w:rsidRPr="007E7FDC">
              <w:rPr>
                <w:rFonts w:ascii="Arial" w:hAnsi="Arial" w:cs="Arial"/>
              </w:rPr>
              <w:t>2021-2024 Business Reset Strategy</w:t>
            </w:r>
            <w:r w:rsidR="00C223D9" w:rsidRPr="007E7FDC">
              <w:rPr>
                <w:rStyle w:val="FootnoteReference"/>
                <w:rFonts w:ascii="Arial" w:hAnsi="Arial" w:cs="Arial"/>
              </w:rPr>
              <w:footnoteReference w:id="2"/>
            </w:r>
            <w:r w:rsidRPr="007E7FDC">
              <w:rPr>
                <w:rFonts w:ascii="Arial" w:hAnsi="Arial" w:cs="Arial"/>
              </w:rPr>
              <w:t>.</w:t>
            </w:r>
            <w:r w:rsidR="00C812AD" w:rsidRPr="007E7FDC">
              <w:rPr>
                <w:rFonts w:ascii="Arial" w:hAnsi="Arial" w:cs="Arial"/>
              </w:rPr>
              <w:t xml:space="preserve"> Key to which is the objective to, ‘Re-generate, evolve and expand participation at all levels, providing opportunities for all’.</w:t>
            </w:r>
          </w:p>
        </w:tc>
      </w:tr>
      <w:tr w:rsidR="00E2418A" w:rsidRPr="007E7FDC" w14:paraId="353292A9" w14:textId="77777777" w:rsidTr="003E5363">
        <w:tc>
          <w:tcPr>
            <w:tcW w:w="16019" w:type="dxa"/>
            <w:gridSpan w:val="5"/>
            <w:shd w:val="clear" w:color="auto" w:fill="E7E6E6" w:themeFill="background2"/>
          </w:tcPr>
          <w:p w14:paraId="77593AD2" w14:textId="2C9324CB" w:rsidR="00E2418A" w:rsidRPr="007E7FDC" w:rsidRDefault="009848C6" w:rsidP="00E241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7E7FDC">
              <w:rPr>
                <w:rFonts w:ascii="Arial" w:hAnsi="Arial" w:cs="Arial"/>
                <w:b/>
                <w:bCs/>
              </w:rPr>
              <w:t>Principal Accountabilities/Responsibilities</w:t>
            </w:r>
          </w:p>
        </w:tc>
      </w:tr>
      <w:tr w:rsidR="009848C6" w:rsidRPr="007E7FDC" w14:paraId="0A96043D" w14:textId="77777777" w:rsidTr="003E5363">
        <w:tc>
          <w:tcPr>
            <w:tcW w:w="16019" w:type="dxa"/>
            <w:gridSpan w:val="5"/>
          </w:tcPr>
          <w:p w14:paraId="6E588A42" w14:textId="77777777" w:rsidR="00AD55EB" w:rsidRPr="007E7FDC" w:rsidRDefault="00AD55EB" w:rsidP="00C74515">
            <w:pPr>
              <w:rPr>
                <w:rFonts w:ascii="Arial" w:hAnsi="Arial" w:cs="Arial"/>
              </w:rPr>
            </w:pPr>
          </w:p>
          <w:p w14:paraId="74AD96CB" w14:textId="1920CE6B" w:rsidR="00F653E6" w:rsidRPr="007E7FDC" w:rsidRDefault="003B49C9" w:rsidP="00897164">
            <w:pPr>
              <w:rPr>
                <w:rFonts w:ascii="Arial" w:hAnsi="Arial" w:cs="Arial"/>
              </w:rPr>
            </w:pPr>
            <w:r w:rsidRPr="003B49C9">
              <w:rPr>
                <w:rFonts w:ascii="Arial" w:hAnsi="Arial" w:cs="Arial"/>
              </w:rPr>
              <w:t>Supported by all members of the Board and RAF FA Executive Committee</w:t>
            </w:r>
            <w:r w:rsidR="00EA3358" w:rsidRPr="007E7FDC">
              <w:rPr>
                <w:rFonts w:ascii="Arial" w:hAnsi="Arial" w:cs="Arial"/>
              </w:rPr>
              <w:t xml:space="preserve">, you have the following </w:t>
            </w:r>
            <w:r w:rsidR="00897164" w:rsidRPr="007E7FDC">
              <w:rPr>
                <w:rFonts w:ascii="Arial" w:hAnsi="Arial" w:cs="Arial"/>
              </w:rPr>
              <w:t>responsibilities</w:t>
            </w:r>
            <w:r w:rsidR="00EA3358" w:rsidRPr="007E7FDC">
              <w:rPr>
                <w:rFonts w:ascii="Arial" w:hAnsi="Arial" w:cs="Arial"/>
              </w:rPr>
              <w:t>:</w:t>
            </w:r>
            <w:r w:rsidR="00B92A1F">
              <w:t xml:space="preserve"> </w:t>
            </w:r>
            <w:r w:rsidR="00B92A1F" w:rsidRPr="00B92A1F">
              <w:rPr>
                <w:rFonts w:ascii="Arial" w:hAnsi="Arial" w:cs="Arial"/>
              </w:rPr>
              <w:t>•</w:t>
            </w:r>
            <w:r w:rsidR="00B92A1F" w:rsidRPr="00B92A1F">
              <w:rPr>
                <w:rFonts w:ascii="Arial" w:hAnsi="Arial" w:cs="Arial"/>
              </w:rPr>
              <w:tab/>
            </w:r>
          </w:p>
          <w:p w14:paraId="75BA2AA7" w14:textId="18A8AFFE" w:rsidR="004405BE" w:rsidRPr="007E7FDC" w:rsidRDefault="004405BE" w:rsidP="00897164">
            <w:pPr>
              <w:rPr>
                <w:rFonts w:ascii="Arial" w:hAnsi="Arial" w:cs="Arial"/>
              </w:rPr>
            </w:pPr>
          </w:p>
          <w:p w14:paraId="361A3AA9" w14:textId="253DF4EC" w:rsidR="00A27883" w:rsidRDefault="003973DE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Sit as </w:t>
            </w:r>
            <w:r w:rsidR="008B67C3">
              <w:rPr>
                <w:rFonts w:ascii="Arial" w:hAnsi="Arial" w:cs="Arial"/>
              </w:rPr>
              <w:t>an indep</w:t>
            </w:r>
            <w:r w:rsidR="0029015D">
              <w:rPr>
                <w:rFonts w:ascii="Arial" w:hAnsi="Arial" w:cs="Arial"/>
              </w:rPr>
              <w:t xml:space="preserve">endent advisor to the </w:t>
            </w:r>
            <w:r>
              <w:rPr>
                <w:rFonts w:ascii="Arial" w:hAnsi="Arial" w:cs="Arial"/>
              </w:rPr>
              <w:t>RAF FA Board of Trustees</w:t>
            </w:r>
            <w:r w:rsidR="00A27883">
              <w:rPr>
                <w:rFonts w:ascii="Arial" w:hAnsi="Arial" w:cs="Arial"/>
              </w:rPr>
              <w:t>; commitment is 3-4 meetings per year</w:t>
            </w:r>
            <w:r w:rsidR="0029015D">
              <w:rPr>
                <w:rFonts w:ascii="Arial" w:hAnsi="Arial" w:cs="Arial"/>
              </w:rPr>
              <w:t xml:space="preserve"> plus ad hoc meetings/calls as required</w:t>
            </w:r>
            <w:r w:rsidR="00A27883">
              <w:rPr>
                <w:rFonts w:ascii="Arial" w:hAnsi="Arial" w:cs="Arial"/>
              </w:rPr>
              <w:t>.</w:t>
            </w:r>
          </w:p>
          <w:p w14:paraId="0F3D28D8" w14:textId="01216A60" w:rsidR="009770D8" w:rsidRPr="007E7FDC" w:rsidRDefault="009770D8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>Support the RAF FA Chair</w:t>
            </w:r>
            <w:r w:rsidR="00F4208A" w:rsidRPr="007E7FDC">
              <w:rPr>
                <w:rFonts w:ascii="Arial" w:hAnsi="Arial" w:cs="Arial"/>
              </w:rPr>
              <w:t>man</w:t>
            </w:r>
            <w:r w:rsidRPr="007E7FDC">
              <w:rPr>
                <w:rFonts w:ascii="Arial" w:hAnsi="Arial" w:cs="Arial"/>
              </w:rPr>
              <w:t xml:space="preserve"> </w:t>
            </w:r>
            <w:r w:rsidR="00F4208A" w:rsidRPr="007E7FDC">
              <w:rPr>
                <w:rFonts w:ascii="Arial" w:hAnsi="Arial" w:cs="Arial"/>
              </w:rPr>
              <w:t>in the delivery of football</w:t>
            </w:r>
            <w:r w:rsidR="00935744" w:rsidRPr="007E7FDC">
              <w:rPr>
                <w:rFonts w:ascii="Arial" w:hAnsi="Arial" w:cs="Arial"/>
              </w:rPr>
              <w:t>.</w:t>
            </w:r>
          </w:p>
          <w:p w14:paraId="79FA8C82" w14:textId="7469A3BE" w:rsidR="007942B3" w:rsidRPr="007E7FDC" w:rsidRDefault="007942B3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 xml:space="preserve">Provide guidance and oversight in support of the Chair, who acts as the Responsible Person for the RAF FA and owns the </w:t>
            </w:r>
            <w:r w:rsidR="007D49DF" w:rsidRPr="007E7FDC">
              <w:rPr>
                <w:rFonts w:ascii="Arial" w:hAnsi="Arial" w:cs="Arial"/>
              </w:rPr>
              <w:t>Association</w:t>
            </w:r>
            <w:r w:rsidRPr="007E7FDC">
              <w:rPr>
                <w:rFonts w:ascii="Arial" w:hAnsi="Arial" w:cs="Arial"/>
              </w:rPr>
              <w:t xml:space="preserve"> Safety </w:t>
            </w:r>
            <w:r w:rsidR="007D49DF" w:rsidRPr="007E7FDC">
              <w:rPr>
                <w:rFonts w:ascii="Arial" w:hAnsi="Arial" w:cs="Arial"/>
              </w:rPr>
              <w:t>Management</w:t>
            </w:r>
            <w:r w:rsidRPr="007E7FDC">
              <w:rPr>
                <w:rFonts w:ascii="Arial" w:hAnsi="Arial" w:cs="Arial"/>
              </w:rPr>
              <w:t xml:space="preserve"> P</w:t>
            </w:r>
            <w:r w:rsidR="007D49DF" w:rsidRPr="007E7FDC">
              <w:rPr>
                <w:rFonts w:ascii="Arial" w:hAnsi="Arial" w:cs="Arial"/>
              </w:rPr>
              <w:t>lan.</w:t>
            </w:r>
          </w:p>
          <w:p w14:paraId="1866A562" w14:textId="3915064D" w:rsidR="00AD55EB" w:rsidRPr="007E7FDC" w:rsidRDefault="00AD55EB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 xml:space="preserve">Contribute to raising the profile and the perception of the </w:t>
            </w:r>
            <w:r w:rsidR="00B14ECE" w:rsidRPr="007E7FDC">
              <w:rPr>
                <w:rFonts w:ascii="Arial" w:hAnsi="Arial" w:cs="Arial"/>
              </w:rPr>
              <w:t>RAF FA</w:t>
            </w:r>
            <w:r w:rsidRPr="007E7FDC">
              <w:rPr>
                <w:rFonts w:ascii="Arial" w:hAnsi="Arial" w:cs="Arial"/>
              </w:rPr>
              <w:t xml:space="preserve"> in leading and developing grass roots football. </w:t>
            </w:r>
          </w:p>
          <w:p w14:paraId="693811E8" w14:textId="2FDAEA62" w:rsidR="00AD55EB" w:rsidRDefault="00AD55EB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>Identif</w:t>
            </w:r>
            <w:r w:rsidR="0029015D">
              <w:rPr>
                <w:rFonts w:ascii="Arial" w:hAnsi="Arial" w:cs="Arial"/>
              </w:rPr>
              <w:t>y</w:t>
            </w:r>
            <w:r w:rsidRPr="007E7FDC">
              <w:rPr>
                <w:rFonts w:ascii="Arial" w:hAnsi="Arial" w:cs="Arial"/>
              </w:rPr>
              <w:t xml:space="preserve"> and </w:t>
            </w:r>
            <w:r w:rsidR="0029015D">
              <w:rPr>
                <w:rFonts w:ascii="Arial" w:hAnsi="Arial" w:cs="Arial"/>
              </w:rPr>
              <w:t xml:space="preserve">help </w:t>
            </w:r>
            <w:r w:rsidRPr="007E7FDC">
              <w:rPr>
                <w:rFonts w:ascii="Arial" w:hAnsi="Arial" w:cs="Arial"/>
              </w:rPr>
              <w:t>develop relationships with key partners</w:t>
            </w:r>
            <w:r w:rsidR="00B14ECE" w:rsidRPr="007E7FDC">
              <w:rPr>
                <w:rFonts w:ascii="Arial" w:hAnsi="Arial" w:cs="Arial"/>
              </w:rPr>
              <w:t xml:space="preserve"> </w:t>
            </w:r>
            <w:r w:rsidR="00687D84" w:rsidRPr="007E7FDC">
              <w:rPr>
                <w:rFonts w:ascii="Arial" w:hAnsi="Arial" w:cs="Arial"/>
              </w:rPr>
              <w:t>(i</w:t>
            </w:r>
            <w:r w:rsidR="00B14ECE" w:rsidRPr="007E7FDC">
              <w:rPr>
                <w:rFonts w:ascii="Arial" w:hAnsi="Arial" w:cs="Arial"/>
              </w:rPr>
              <w:t>ncluding sponsors)</w:t>
            </w:r>
            <w:r w:rsidRPr="007E7FDC">
              <w:rPr>
                <w:rFonts w:ascii="Arial" w:hAnsi="Arial" w:cs="Arial"/>
              </w:rPr>
              <w:t xml:space="preserve"> to meet the objectives and targets of </w:t>
            </w:r>
            <w:r w:rsidR="00B14ECE" w:rsidRPr="007E7FDC">
              <w:rPr>
                <w:rFonts w:ascii="Arial" w:hAnsi="Arial" w:cs="Arial"/>
              </w:rPr>
              <w:t>the RAF FA</w:t>
            </w:r>
            <w:r w:rsidRPr="007E7FDC">
              <w:rPr>
                <w:rFonts w:ascii="Arial" w:hAnsi="Arial" w:cs="Arial"/>
              </w:rPr>
              <w:t xml:space="preserve">. </w:t>
            </w:r>
          </w:p>
          <w:p w14:paraId="78D54504" w14:textId="28FEF03F" w:rsidR="003B49C9" w:rsidRPr="003B49C9" w:rsidRDefault="000C7E61" w:rsidP="003B49C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Help s</w:t>
            </w:r>
            <w:r w:rsidR="003B49C9" w:rsidRPr="003B49C9">
              <w:rPr>
                <w:rFonts w:ascii="Arial" w:hAnsi="Arial" w:cs="Arial"/>
              </w:rPr>
              <w:t>upport the delivery of the Association’s 3-year business strategy, annual operational plan and FA KPIs</w:t>
            </w:r>
            <w:r w:rsidR="00194AF2">
              <w:rPr>
                <w:rFonts w:ascii="Arial" w:hAnsi="Arial" w:cs="Arial"/>
              </w:rPr>
              <w:t>.</w:t>
            </w:r>
          </w:p>
          <w:p w14:paraId="5E67DB84" w14:textId="682B4F41" w:rsidR="00354129" w:rsidRPr="006609AE" w:rsidRDefault="003D50A1" w:rsidP="00D510A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609AE">
              <w:rPr>
                <w:rFonts w:ascii="Arial" w:hAnsi="Arial" w:cs="Arial"/>
              </w:rPr>
              <w:t>Promote an inclusive working environment</w:t>
            </w:r>
            <w:r w:rsidR="00935744" w:rsidRPr="006609AE">
              <w:rPr>
                <w:rFonts w:ascii="Arial" w:hAnsi="Arial" w:cs="Arial"/>
              </w:rPr>
              <w:t>.</w:t>
            </w:r>
          </w:p>
          <w:p w14:paraId="15918488" w14:textId="3D46DF3B" w:rsidR="004632C5" w:rsidRPr="007E7FDC" w:rsidRDefault="004632C5" w:rsidP="002E3752">
            <w:pPr>
              <w:rPr>
                <w:rFonts w:ascii="Arial" w:hAnsi="Arial" w:cs="Arial"/>
              </w:rPr>
            </w:pPr>
          </w:p>
        </w:tc>
      </w:tr>
      <w:tr w:rsidR="00ED762A" w:rsidRPr="007E7FDC" w14:paraId="0E882C8B" w14:textId="77777777" w:rsidTr="003E5363">
        <w:tc>
          <w:tcPr>
            <w:tcW w:w="16019" w:type="dxa"/>
            <w:gridSpan w:val="5"/>
            <w:shd w:val="clear" w:color="auto" w:fill="E7E6E6" w:themeFill="background2"/>
          </w:tcPr>
          <w:p w14:paraId="6BC8B9AE" w14:textId="5A4767BD" w:rsidR="00ED762A" w:rsidRPr="007E7FDC" w:rsidRDefault="00ED762A" w:rsidP="00ED762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7E7FDC">
              <w:rPr>
                <w:rFonts w:ascii="Arial" w:hAnsi="Arial" w:cs="Arial"/>
                <w:b/>
                <w:bCs/>
              </w:rPr>
              <w:t>Knowledge/Experience/Technical Skills/Behaviours</w:t>
            </w:r>
          </w:p>
        </w:tc>
      </w:tr>
      <w:tr w:rsidR="00AE1219" w:rsidRPr="007E7FDC" w14:paraId="050E4AA8" w14:textId="77777777" w:rsidTr="003E5363">
        <w:tc>
          <w:tcPr>
            <w:tcW w:w="16019" w:type="dxa"/>
            <w:gridSpan w:val="5"/>
            <w:shd w:val="clear" w:color="auto" w:fill="E7E6E6" w:themeFill="background2"/>
          </w:tcPr>
          <w:p w14:paraId="0BD4FD83" w14:textId="678A965B" w:rsidR="00AE1219" w:rsidRPr="007E7FDC" w:rsidRDefault="00AE1219" w:rsidP="00AE12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i/>
                <w:iCs/>
              </w:rPr>
            </w:pPr>
            <w:r w:rsidRPr="007E7FDC">
              <w:rPr>
                <w:rFonts w:ascii="Arial" w:hAnsi="Arial" w:cs="Arial"/>
                <w:i/>
                <w:iCs/>
              </w:rPr>
              <w:t>Knowledge/Experience/Technical Skills/Behaviours</w:t>
            </w:r>
          </w:p>
        </w:tc>
      </w:tr>
      <w:tr w:rsidR="00532D6D" w:rsidRPr="007E7FDC" w14:paraId="5E3B8010" w14:textId="77777777" w:rsidTr="003E5363">
        <w:tc>
          <w:tcPr>
            <w:tcW w:w="7229" w:type="dxa"/>
            <w:gridSpan w:val="3"/>
          </w:tcPr>
          <w:p w14:paraId="2A3ADBC4" w14:textId="4EE40900" w:rsidR="00532D6D" w:rsidRPr="007E7FDC" w:rsidRDefault="00532D6D" w:rsidP="00532D6D">
            <w:pPr>
              <w:jc w:val="center"/>
              <w:rPr>
                <w:rFonts w:ascii="Arial" w:hAnsi="Arial" w:cs="Arial"/>
                <w:b/>
                <w:bCs/>
              </w:rPr>
            </w:pPr>
            <w:r w:rsidRPr="007E7FDC">
              <w:rPr>
                <w:rFonts w:ascii="Arial" w:hAnsi="Arial" w:cs="Arial"/>
                <w:b/>
                <w:bCs/>
              </w:rPr>
              <w:t>Essential</w:t>
            </w:r>
            <w:r w:rsidR="002E25A1" w:rsidRPr="007E7FD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790" w:type="dxa"/>
            <w:gridSpan w:val="2"/>
          </w:tcPr>
          <w:p w14:paraId="3BEBC042" w14:textId="1D3A20B7" w:rsidR="00532D6D" w:rsidRPr="007E7FDC" w:rsidRDefault="002E25A1" w:rsidP="002E25A1">
            <w:pPr>
              <w:tabs>
                <w:tab w:val="left" w:pos="2910"/>
                <w:tab w:val="center" w:pos="3507"/>
              </w:tabs>
              <w:rPr>
                <w:rFonts w:ascii="Arial" w:hAnsi="Arial" w:cs="Arial"/>
                <w:b/>
                <w:bCs/>
              </w:rPr>
            </w:pPr>
            <w:r w:rsidRPr="007E7FDC">
              <w:rPr>
                <w:rFonts w:ascii="Arial" w:hAnsi="Arial" w:cs="Arial"/>
              </w:rPr>
              <w:tab/>
            </w:r>
            <w:r w:rsidRPr="007E7FDC">
              <w:rPr>
                <w:rFonts w:ascii="Arial" w:hAnsi="Arial" w:cs="Arial"/>
              </w:rPr>
              <w:tab/>
            </w:r>
            <w:r w:rsidR="00532D6D" w:rsidRPr="007E7FDC">
              <w:rPr>
                <w:rFonts w:ascii="Arial" w:hAnsi="Arial" w:cs="Arial"/>
                <w:b/>
                <w:bCs/>
              </w:rPr>
              <w:t>Desirable</w:t>
            </w:r>
            <w:r w:rsidRPr="007E7FDC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2E25A1" w:rsidRPr="007E7FDC" w14:paraId="055BD1FE" w14:textId="77777777" w:rsidTr="003E5363">
        <w:tc>
          <w:tcPr>
            <w:tcW w:w="7229" w:type="dxa"/>
            <w:gridSpan w:val="3"/>
          </w:tcPr>
          <w:p w14:paraId="67027067" w14:textId="6277DEB1" w:rsidR="000230C3" w:rsidRPr="006A0C5C" w:rsidRDefault="000230C3" w:rsidP="00C74515">
            <w:pPr>
              <w:rPr>
                <w:rFonts w:ascii="Arial" w:hAnsi="Arial" w:cs="Arial"/>
              </w:rPr>
            </w:pPr>
            <w:r w:rsidRPr="006A0C5C">
              <w:rPr>
                <w:rFonts w:ascii="Arial" w:eastAsia="Symbol" w:hAnsi="Arial" w:cs="Arial"/>
              </w:rPr>
              <w:t>·</w:t>
            </w:r>
            <w:r w:rsidRPr="006A0C5C">
              <w:rPr>
                <w:rFonts w:ascii="Arial" w:hAnsi="Arial" w:cs="Arial"/>
              </w:rPr>
              <w:t xml:space="preserve"> Developing goal setting/strategic delivery plans </w:t>
            </w:r>
          </w:p>
          <w:p w14:paraId="43B3D5A6" w14:textId="77777777" w:rsidR="000230C3" w:rsidRPr="006A0C5C" w:rsidRDefault="000230C3" w:rsidP="00C74515">
            <w:pPr>
              <w:rPr>
                <w:rFonts w:ascii="Arial" w:hAnsi="Arial" w:cs="Arial"/>
              </w:rPr>
            </w:pPr>
            <w:r w:rsidRPr="006A0C5C">
              <w:rPr>
                <w:rFonts w:ascii="Arial" w:eastAsia="Symbol" w:hAnsi="Arial" w:cs="Arial"/>
              </w:rPr>
              <w:t>·</w:t>
            </w:r>
            <w:r w:rsidRPr="006A0C5C">
              <w:rPr>
                <w:rFonts w:ascii="Arial" w:hAnsi="Arial" w:cs="Arial"/>
              </w:rPr>
              <w:t xml:space="preserve"> Monitoring and evaluation </w:t>
            </w:r>
          </w:p>
          <w:p w14:paraId="6A9C57AD" w14:textId="578705E3" w:rsidR="000230C3" w:rsidRPr="006A0C5C" w:rsidRDefault="000230C3" w:rsidP="00C74515">
            <w:pPr>
              <w:rPr>
                <w:rFonts w:ascii="Arial" w:hAnsi="Arial" w:cs="Arial"/>
              </w:rPr>
            </w:pPr>
            <w:r w:rsidRPr="006A0C5C">
              <w:rPr>
                <w:rFonts w:ascii="Arial" w:eastAsia="Symbol" w:hAnsi="Arial" w:cs="Arial"/>
              </w:rPr>
              <w:t>·</w:t>
            </w:r>
            <w:r w:rsidRPr="006A0C5C">
              <w:rPr>
                <w:rFonts w:ascii="Arial" w:hAnsi="Arial" w:cs="Arial"/>
              </w:rPr>
              <w:t xml:space="preserve"> Project management skills/experience </w:t>
            </w:r>
          </w:p>
          <w:p w14:paraId="49732B5C" w14:textId="77777777" w:rsidR="000230C3" w:rsidRPr="006A0C5C" w:rsidRDefault="000230C3" w:rsidP="00C74515">
            <w:pPr>
              <w:rPr>
                <w:rFonts w:ascii="Arial" w:hAnsi="Arial" w:cs="Arial"/>
              </w:rPr>
            </w:pPr>
            <w:r w:rsidRPr="006A0C5C">
              <w:rPr>
                <w:rFonts w:ascii="Arial" w:eastAsia="Symbol" w:hAnsi="Arial" w:cs="Arial"/>
              </w:rPr>
              <w:t>·</w:t>
            </w:r>
            <w:r w:rsidRPr="006A0C5C">
              <w:rPr>
                <w:rFonts w:ascii="Arial" w:hAnsi="Arial" w:cs="Arial"/>
              </w:rPr>
              <w:t xml:space="preserve"> Budget management skills/experience </w:t>
            </w:r>
          </w:p>
          <w:p w14:paraId="2FDF8D7A" w14:textId="058A52DD" w:rsidR="000230C3" w:rsidRPr="007E7FDC" w:rsidRDefault="000230C3" w:rsidP="00C74515">
            <w:pPr>
              <w:rPr>
                <w:rFonts w:ascii="Arial" w:hAnsi="Arial" w:cs="Arial"/>
              </w:rPr>
            </w:pPr>
          </w:p>
          <w:p w14:paraId="0BDFA64B" w14:textId="728E375D" w:rsidR="000230C3" w:rsidRPr="007E7FDC" w:rsidRDefault="000230C3" w:rsidP="002F3806">
            <w:pPr>
              <w:rPr>
                <w:rFonts w:ascii="Arial" w:hAnsi="Arial" w:cs="Arial"/>
              </w:rPr>
            </w:pPr>
          </w:p>
        </w:tc>
        <w:tc>
          <w:tcPr>
            <w:tcW w:w="8790" w:type="dxa"/>
            <w:gridSpan w:val="2"/>
          </w:tcPr>
          <w:p w14:paraId="705D14A1" w14:textId="75739175" w:rsidR="007A519C" w:rsidRDefault="000230C3" w:rsidP="00F03B43">
            <w:pPr>
              <w:rPr>
                <w:rFonts w:ascii="Arial" w:hAnsi="Arial" w:cs="Arial"/>
              </w:rPr>
            </w:pPr>
            <w:r w:rsidRPr="007E7FDC">
              <w:rPr>
                <w:rFonts w:ascii="Arial" w:eastAsia="Symbol" w:hAnsi="Arial" w:cs="Arial"/>
              </w:rPr>
              <w:t>·</w:t>
            </w:r>
            <w:r w:rsidRPr="007E7FDC">
              <w:rPr>
                <w:rFonts w:ascii="Arial" w:hAnsi="Arial" w:cs="Arial"/>
              </w:rPr>
              <w:t xml:space="preserve"> </w:t>
            </w:r>
            <w:r w:rsidR="00F03B43">
              <w:rPr>
                <w:rFonts w:ascii="Arial" w:hAnsi="Arial" w:cs="Arial"/>
              </w:rPr>
              <w:t>Experience within the following key areas:</w:t>
            </w:r>
          </w:p>
          <w:p w14:paraId="5443DBA0" w14:textId="77777777" w:rsidR="006A0C5C" w:rsidRPr="006A0C5C" w:rsidRDefault="006A0C5C" w:rsidP="006609AE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</w:rPr>
            </w:pPr>
            <w:r w:rsidRPr="006A0C5C">
              <w:rPr>
                <w:rFonts w:ascii="Arial" w:hAnsi="Arial" w:cs="Arial"/>
              </w:rPr>
              <w:t>Board Experience:</w:t>
            </w:r>
          </w:p>
          <w:p w14:paraId="4A4D5FBE" w14:textId="77777777" w:rsidR="006A0C5C" w:rsidRPr="006A0C5C" w:rsidRDefault="006A0C5C" w:rsidP="006609AE">
            <w:pPr>
              <w:pStyle w:val="ListParagraph"/>
              <w:numPr>
                <w:ilvl w:val="1"/>
                <w:numId w:val="9"/>
              </w:numPr>
              <w:spacing w:after="200" w:line="276" w:lineRule="auto"/>
              <w:rPr>
                <w:rFonts w:ascii="Arial" w:hAnsi="Arial" w:cs="Arial"/>
              </w:rPr>
            </w:pPr>
            <w:r w:rsidRPr="006A0C5C">
              <w:rPr>
                <w:rFonts w:ascii="Arial" w:hAnsi="Arial" w:cs="Arial"/>
              </w:rPr>
              <w:t xml:space="preserve">Sport  </w:t>
            </w:r>
          </w:p>
          <w:p w14:paraId="11C21D04" w14:textId="77777777" w:rsidR="006A0C5C" w:rsidRPr="006A0C5C" w:rsidRDefault="006A0C5C" w:rsidP="006609AE">
            <w:pPr>
              <w:pStyle w:val="ListParagraph"/>
              <w:numPr>
                <w:ilvl w:val="1"/>
                <w:numId w:val="9"/>
              </w:numPr>
              <w:spacing w:after="200" w:line="276" w:lineRule="auto"/>
              <w:rPr>
                <w:rFonts w:ascii="Arial" w:hAnsi="Arial" w:cs="Arial"/>
              </w:rPr>
            </w:pPr>
            <w:r w:rsidRPr="006A0C5C">
              <w:rPr>
                <w:rFonts w:ascii="Arial" w:hAnsi="Arial" w:cs="Arial"/>
              </w:rPr>
              <w:t>HR/Finance/Marketing/Digital</w:t>
            </w:r>
          </w:p>
          <w:p w14:paraId="4B292ACD" w14:textId="3B2EE98A" w:rsidR="002F3806" w:rsidRPr="006A0C5C" w:rsidRDefault="006A0C5C" w:rsidP="006A0C5C">
            <w:pPr>
              <w:pStyle w:val="ListParagraph"/>
              <w:numPr>
                <w:ilvl w:val="1"/>
                <w:numId w:val="8"/>
              </w:numPr>
              <w:spacing w:after="200" w:line="276" w:lineRule="auto"/>
            </w:pPr>
            <w:r w:rsidRPr="006A0C5C">
              <w:rPr>
                <w:rFonts w:ascii="Arial" w:hAnsi="Arial" w:cs="Arial"/>
              </w:rPr>
              <w:t xml:space="preserve">Charitable sector </w:t>
            </w:r>
          </w:p>
        </w:tc>
      </w:tr>
      <w:tr w:rsidR="0000159D" w:rsidRPr="007E7FDC" w14:paraId="6E3CFFE8" w14:textId="77777777" w:rsidTr="003E5363">
        <w:tc>
          <w:tcPr>
            <w:tcW w:w="7229" w:type="dxa"/>
            <w:gridSpan w:val="3"/>
            <w:shd w:val="clear" w:color="auto" w:fill="E7E6E6" w:themeFill="background2"/>
          </w:tcPr>
          <w:p w14:paraId="629EE929" w14:textId="39085008" w:rsidR="0000159D" w:rsidRPr="007E7FDC" w:rsidRDefault="0000159D" w:rsidP="00C74515">
            <w:pPr>
              <w:rPr>
                <w:rFonts w:ascii="Arial" w:hAnsi="Arial" w:cs="Arial"/>
                <w:b/>
                <w:bCs/>
              </w:rPr>
            </w:pPr>
            <w:r w:rsidRPr="007E7FDC">
              <w:rPr>
                <w:rFonts w:ascii="Arial" w:hAnsi="Arial" w:cs="Arial"/>
                <w:b/>
                <w:bCs/>
              </w:rPr>
              <w:t>b) Key skills – as defined in County Football Association Competency Model</w:t>
            </w:r>
          </w:p>
        </w:tc>
        <w:tc>
          <w:tcPr>
            <w:tcW w:w="8790" w:type="dxa"/>
            <w:gridSpan w:val="2"/>
            <w:shd w:val="clear" w:color="auto" w:fill="E7E6E6" w:themeFill="background2"/>
          </w:tcPr>
          <w:p w14:paraId="5B1FCE5F" w14:textId="48E7E2E6" w:rsidR="0000159D" w:rsidRPr="00BB0809" w:rsidRDefault="00BB0809" w:rsidP="00C74515">
            <w:pPr>
              <w:rPr>
                <w:rFonts w:ascii="Arial" w:hAnsi="Arial" w:cs="Arial"/>
                <w:b/>
                <w:bCs/>
              </w:rPr>
            </w:pPr>
            <w:r w:rsidRPr="00BB0809">
              <w:rPr>
                <w:rFonts w:ascii="Arial" w:hAnsi="Arial" w:cs="Arial"/>
                <w:b/>
                <w:bCs/>
              </w:rPr>
              <w:t>Key Information</w:t>
            </w:r>
          </w:p>
        </w:tc>
      </w:tr>
      <w:tr w:rsidR="001E0725" w:rsidRPr="007E7FDC" w14:paraId="280C8CFD" w14:textId="77777777" w:rsidTr="003E5363">
        <w:tc>
          <w:tcPr>
            <w:tcW w:w="7229" w:type="dxa"/>
            <w:gridSpan w:val="3"/>
            <w:shd w:val="clear" w:color="auto" w:fill="auto"/>
          </w:tcPr>
          <w:p w14:paraId="75C10DF2" w14:textId="77777777" w:rsidR="001E0725" w:rsidRPr="004B190A" w:rsidRDefault="001E0725" w:rsidP="00C74515">
            <w:pPr>
              <w:rPr>
                <w:rFonts w:ascii="Arial" w:hAnsi="Arial" w:cs="Arial"/>
              </w:rPr>
            </w:pPr>
            <w:r w:rsidRPr="004B190A">
              <w:rPr>
                <w:rFonts w:ascii="Arial" w:eastAsia="Symbol" w:hAnsi="Arial" w:cs="Arial"/>
              </w:rPr>
              <w:t>·</w:t>
            </w:r>
            <w:r w:rsidRPr="004B190A">
              <w:rPr>
                <w:rFonts w:ascii="Arial" w:hAnsi="Arial" w:cs="Arial"/>
              </w:rPr>
              <w:t xml:space="preserve"> Problem Solving </w:t>
            </w:r>
          </w:p>
          <w:p w14:paraId="797AA23B" w14:textId="77777777" w:rsidR="001E0725" w:rsidRPr="004B190A" w:rsidRDefault="001E0725" w:rsidP="00C74515">
            <w:pPr>
              <w:rPr>
                <w:rFonts w:ascii="Arial" w:hAnsi="Arial" w:cs="Arial"/>
              </w:rPr>
            </w:pPr>
            <w:r w:rsidRPr="004B190A">
              <w:rPr>
                <w:rFonts w:ascii="Arial" w:eastAsia="Symbol" w:hAnsi="Arial" w:cs="Arial"/>
              </w:rPr>
              <w:t>·</w:t>
            </w:r>
            <w:r w:rsidRPr="004B190A">
              <w:rPr>
                <w:rFonts w:ascii="Arial" w:hAnsi="Arial" w:cs="Arial"/>
              </w:rPr>
              <w:t xml:space="preserve"> Teamwork </w:t>
            </w:r>
          </w:p>
          <w:p w14:paraId="79F29FBF" w14:textId="77777777" w:rsidR="001E0725" w:rsidRPr="004B190A" w:rsidRDefault="001E0725" w:rsidP="00C74515">
            <w:pPr>
              <w:rPr>
                <w:rFonts w:ascii="Arial" w:hAnsi="Arial" w:cs="Arial"/>
              </w:rPr>
            </w:pPr>
            <w:r w:rsidRPr="004B190A">
              <w:rPr>
                <w:rFonts w:ascii="Arial" w:eastAsia="Symbol" w:hAnsi="Arial" w:cs="Arial"/>
              </w:rPr>
              <w:t>·</w:t>
            </w:r>
            <w:r w:rsidRPr="004B190A">
              <w:rPr>
                <w:rFonts w:ascii="Arial" w:hAnsi="Arial" w:cs="Arial"/>
              </w:rPr>
              <w:t xml:space="preserve"> Communicating </w:t>
            </w:r>
          </w:p>
          <w:p w14:paraId="279882C6" w14:textId="77777777" w:rsidR="001E0725" w:rsidRPr="004B190A" w:rsidRDefault="001E0725" w:rsidP="00C74515">
            <w:pPr>
              <w:rPr>
                <w:rFonts w:ascii="Arial" w:hAnsi="Arial" w:cs="Arial"/>
              </w:rPr>
            </w:pPr>
            <w:r w:rsidRPr="004B190A">
              <w:rPr>
                <w:rFonts w:ascii="Arial" w:eastAsia="Symbol" w:hAnsi="Arial" w:cs="Arial"/>
              </w:rPr>
              <w:t>·</w:t>
            </w:r>
            <w:r w:rsidRPr="004B190A">
              <w:rPr>
                <w:rFonts w:ascii="Arial" w:hAnsi="Arial" w:cs="Arial"/>
              </w:rPr>
              <w:t xml:space="preserve"> Delivery </w:t>
            </w:r>
          </w:p>
          <w:p w14:paraId="761E39B8" w14:textId="77777777" w:rsidR="001E0725" w:rsidRPr="004B190A" w:rsidRDefault="001E0725" w:rsidP="00C74515">
            <w:pPr>
              <w:rPr>
                <w:rFonts w:ascii="Arial" w:hAnsi="Arial" w:cs="Arial"/>
              </w:rPr>
            </w:pPr>
            <w:r w:rsidRPr="004B190A">
              <w:rPr>
                <w:rFonts w:ascii="Arial" w:eastAsia="Symbol" w:hAnsi="Arial" w:cs="Arial"/>
              </w:rPr>
              <w:t>·</w:t>
            </w:r>
            <w:r w:rsidRPr="004B190A">
              <w:rPr>
                <w:rFonts w:ascii="Arial" w:hAnsi="Arial" w:cs="Arial"/>
              </w:rPr>
              <w:t xml:space="preserve"> Customer Excellence </w:t>
            </w:r>
          </w:p>
          <w:p w14:paraId="10E42356" w14:textId="77777777" w:rsidR="001E0725" w:rsidRPr="004B190A" w:rsidRDefault="001E0725" w:rsidP="00C74515">
            <w:pPr>
              <w:rPr>
                <w:rFonts w:ascii="Arial" w:hAnsi="Arial" w:cs="Arial"/>
              </w:rPr>
            </w:pPr>
            <w:r w:rsidRPr="004B190A">
              <w:rPr>
                <w:rFonts w:ascii="Arial" w:eastAsia="Symbol" w:hAnsi="Arial" w:cs="Arial"/>
              </w:rPr>
              <w:lastRenderedPageBreak/>
              <w:t>·</w:t>
            </w:r>
            <w:r w:rsidRPr="004B190A">
              <w:rPr>
                <w:rFonts w:ascii="Arial" w:hAnsi="Arial" w:cs="Arial"/>
              </w:rPr>
              <w:t xml:space="preserve"> Developing Self and Others </w:t>
            </w:r>
          </w:p>
          <w:p w14:paraId="6120C110" w14:textId="0099371E" w:rsidR="001E0725" w:rsidRPr="007E7FDC" w:rsidRDefault="001E0725" w:rsidP="00C74515">
            <w:pPr>
              <w:rPr>
                <w:rFonts w:ascii="Arial" w:hAnsi="Arial" w:cs="Arial"/>
              </w:rPr>
            </w:pPr>
            <w:r w:rsidRPr="004B190A">
              <w:rPr>
                <w:rFonts w:ascii="Arial" w:eastAsia="Symbol" w:hAnsi="Arial" w:cs="Arial"/>
              </w:rPr>
              <w:t>·</w:t>
            </w:r>
            <w:r w:rsidRPr="004B190A">
              <w:rPr>
                <w:rFonts w:ascii="Arial" w:hAnsi="Arial" w:cs="Arial"/>
              </w:rPr>
              <w:t xml:space="preserve"> Leadership</w:t>
            </w:r>
          </w:p>
        </w:tc>
        <w:tc>
          <w:tcPr>
            <w:tcW w:w="8790" w:type="dxa"/>
            <w:gridSpan w:val="2"/>
            <w:shd w:val="clear" w:color="auto" w:fill="auto"/>
          </w:tcPr>
          <w:p w14:paraId="6B2FAF92" w14:textId="7F91580F" w:rsidR="001E0725" w:rsidRDefault="0076484A" w:rsidP="0064604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FD58A0">
              <w:rPr>
                <w:rFonts w:ascii="Arial" w:hAnsi="Arial" w:cs="Arial"/>
              </w:rPr>
              <w:lastRenderedPageBreak/>
              <w:t xml:space="preserve">Time commitment </w:t>
            </w:r>
            <w:r w:rsidR="000E3752" w:rsidRPr="00FD58A0">
              <w:rPr>
                <w:rFonts w:ascii="Arial" w:hAnsi="Arial" w:cs="Arial"/>
              </w:rPr>
              <w:t>requires attendance at Board mtgs (either virtua</w:t>
            </w:r>
            <w:r w:rsidR="00FD58A0" w:rsidRPr="00FD58A0">
              <w:rPr>
                <w:rFonts w:ascii="Arial" w:hAnsi="Arial" w:cs="Arial"/>
              </w:rPr>
              <w:t>l</w:t>
            </w:r>
            <w:r w:rsidR="000E3752" w:rsidRPr="00FD58A0">
              <w:rPr>
                <w:rFonts w:ascii="Arial" w:hAnsi="Arial" w:cs="Arial"/>
              </w:rPr>
              <w:t xml:space="preserve">ly or in person) </w:t>
            </w:r>
            <w:r w:rsidR="00FD58A0" w:rsidRPr="00FD58A0">
              <w:rPr>
                <w:rFonts w:ascii="Arial" w:hAnsi="Arial" w:cs="Arial"/>
              </w:rPr>
              <w:t>and additional calls, mtgs with Chairman and/or Board of Trustee members to advise as required.</w:t>
            </w:r>
          </w:p>
          <w:p w14:paraId="05EC2692" w14:textId="506D4639" w:rsidR="00FD58A0" w:rsidRDefault="00FD58A0" w:rsidP="0064604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Travel expenses will be re-</w:t>
            </w:r>
            <w:r w:rsidR="00F03B43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mbursed in line with HMRC guidelines.</w:t>
            </w:r>
          </w:p>
          <w:p w14:paraId="0B2BD8B2" w14:textId="7036696E" w:rsidR="002D4C53" w:rsidRDefault="002D4C53" w:rsidP="0064604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Appointment will be for 3</w:t>
            </w:r>
            <w:r w:rsidR="00E62283">
              <w:rPr>
                <w:rFonts w:ascii="Arial" w:hAnsi="Arial" w:cs="Arial"/>
              </w:rPr>
              <w:t xml:space="preserve"> x 3</w:t>
            </w:r>
            <w:r>
              <w:rPr>
                <w:rFonts w:ascii="Arial" w:hAnsi="Arial" w:cs="Arial"/>
              </w:rPr>
              <w:t xml:space="preserve"> years </w:t>
            </w:r>
            <w:r w:rsidR="00E62283">
              <w:rPr>
                <w:rFonts w:ascii="Arial" w:hAnsi="Arial" w:cs="Arial"/>
              </w:rPr>
              <w:t>by mutual agreement.</w:t>
            </w:r>
          </w:p>
          <w:p w14:paraId="409B7CB9" w14:textId="2D067127" w:rsidR="006645E9" w:rsidRPr="00BB0809" w:rsidRDefault="006645E9" w:rsidP="004B190A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AD55EB" w:rsidRPr="007E7FDC" w14:paraId="435B189E" w14:textId="77777777" w:rsidTr="003E5363">
        <w:tc>
          <w:tcPr>
            <w:tcW w:w="16019" w:type="dxa"/>
            <w:gridSpan w:val="5"/>
            <w:shd w:val="clear" w:color="auto" w:fill="auto"/>
          </w:tcPr>
          <w:p w14:paraId="3AED7981" w14:textId="0633E365" w:rsidR="00AD55EB" w:rsidRPr="007E7FDC" w:rsidRDefault="00313FFE" w:rsidP="00C74515">
            <w:pPr>
              <w:rPr>
                <w:rFonts w:ascii="Arial" w:hAnsi="Arial" w:cs="Arial"/>
                <w:b/>
                <w:bCs/>
              </w:rPr>
            </w:pPr>
            <w:r w:rsidRPr="007E7FDC">
              <w:rPr>
                <w:rFonts w:ascii="Arial" w:hAnsi="Arial" w:cs="Arial"/>
                <w:b/>
                <w:bCs/>
              </w:rPr>
              <w:t>Further Information</w:t>
            </w:r>
          </w:p>
        </w:tc>
      </w:tr>
      <w:tr w:rsidR="00605548" w:rsidRPr="007E7FDC" w14:paraId="7DC2CDDB" w14:textId="77777777" w:rsidTr="003E5363">
        <w:tc>
          <w:tcPr>
            <w:tcW w:w="16019" w:type="dxa"/>
            <w:gridSpan w:val="5"/>
            <w:shd w:val="clear" w:color="auto" w:fill="auto"/>
          </w:tcPr>
          <w:p w14:paraId="31C4F588" w14:textId="77777777" w:rsidR="00AA5B77" w:rsidRPr="007E7FDC" w:rsidRDefault="00AA5B77" w:rsidP="00C74515">
            <w:pPr>
              <w:rPr>
                <w:rFonts w:ascii="Arial" w:hAnsi="Arial" w:cs="Arial"/>
              </w:rPr>
            </w:pPr>
          </w:p>
          <w:p w14:paraId="03520E92" w14:textId="77777777" w:rsidR="00AA5B77" w:rsidRPr="00165EF6" w:rsidRDefault="00AA5B77" w:rsidP="002B39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7E7FDC">
              <w:rPr>
                <w:rFonts w:ascii="Arial" w:hAnsi="Arial" w:cs="Arial"/>
              </w:rPr>
              <w:t xml:space="preserve">Will the job-holder have direct access to young persons under the age of 18, within the context of the job or any subsequent related activities or responsibilities? </w:t>
            </w:r>
            <w:r w:rsidR="00167F85" w:rsidRPr="007E7FDC">
              <w:rPr>
                <w:rFonts w:ascii="Arial" w:hAnsi="Arial" w:cs="Arial"/>
                <w:b/>
                <w:bCs/>
              </w:rPr>
              <w:t>NO</w:t>
            </w:r>
            <w:r w:rsidRPr="007E7FDC">
              <w:rPr>
                <w:rFonts w:ascii="Arial" w:hAnsi="Arial" w:cs="Arial"/>
              </w:rPr>
              <w:t xml:space="preserve"> </w:t>
            </w:r>
          </w:p>
          <w:p w14:paraId="7D09D87A" w14:textId="60D916F1" w:rsidR="00165EF6" w:rsidRPr="007E7FDC" w:rsidRDefault="00165EF6" w:rsidP="00165EF6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</w:tbl>
    <w:p w14:paraId="631437AB" w14:textId="7809414E" w:rsidR="002F55DD" w:rsidRPr="007E7FDC" w:rsidRDefault="002F55DD" w:rsidP="002F55DD">
      <w:pPr>
        <w:jc w:val="center"/>
        <w:rPr>
          <w:rFonts w:ascii="Arial" w:hAnsi="Arial" w:cs="Arial"/>
          <w:b/>
          <w:bCs/>
        </w:rPr>
      </w:pPr>
    </w:p>
    <w:p w14:paraId="161B5449" w14:textId="5AD40369" w:rsidR="00E8732F" w:rsidRPr="007E7FDC" w:rsidRDefault="00BE0F56" w:rsidP="002821E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3B36E" wp14:editId="14F01C22">
                <wp:simplePos x="0" y="0"/>
                <wp:positionH relativeFrom="column">
                  <wp:posOffset>7429500</wp:posOffset>
                </wp:positionH>
                <wp:positionV relativeFrom="paragraph">
                  <wp:posOffset>3581400</wp:posOffset>
                </wp:positionV>
                <wp:extent cx="1363980" cy="190500"/>
                <wp:effectExtent l="0" t="0" r="2667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190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E23F1" id="Rectangle 2" o:spid="_x0000_s1026" style="position:absolute;margin-left:585pt;margin-top:282pt;width:107.4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" fillcolor="#e2efd9 [665]" strokecolor="white [3212]" strokeweight="1pt"/>
            </w:pict>
          </mc:Fallback>
        </mc:AlternateContent>
      </w:r>
      <w:r w:rsidR="002821ED" w:rsidRPr="007E7FDC">
        <w:rPr>
          <w:rFonts w:ascii="Arial" w:hAnsi="Arial" w:cs="Arial"/>
          <w:b/>
          <w:bCs/>
          <w:noProof/>
        </w:rPr>
        <w:drawing>
          <wp:inline distT="0" distB="0" distL="0" distR="0" wp14:anchorId="7106D737" wp14:editId="087F5E27">
            <wp:extent cx="9306560" cy="5234940"/>
            <wp:effectExtent l="0" t="0" r="889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19910" cy="5242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732F" w:rsidRPr="007E7FDC" w:rsidSect="00E201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9F47F" w14:textId="77777777" w:rsidR="000356C6" w:rsidRDefault="000356C6" w:rsidP="009F1429">
      <w:pPr>
        <w:spacing w:after="0" w:line="240" w:lineRule="auto"/>
      </w:pPr>
      <w:r>
        <w:separator/>
      </w:r>
    </w:p>
  </w:endnote>
  <w:endnote w:type="continuationSeparator" w:id="0">
    <w:p w14:paraId="6590902E" w14:textId="77777777" w:rsidR="000356C6" w:rsidRDefault="000356C6" w:rsidP="009F1429">
      <w:pPr>
        <w:spacing w:after="0" w:line="240" w:lineRule="auto"/>
      </w:pPr>
      <w:r>
        <w:continuationSeparator/>
      </w:r>
    </w:p>
  </w:endnote>
  <w:endnote w:type="continuationNotice" w:id="1">
    <w:p w14:paraId="49C8B815" w14:textId="77777777" w:rsidR="000356C6" w:rsidRDefault="000356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36B65" w14:textId="77777777" w:rsidR="000356C6" w:rsidRDefault="000356C6" w:rsidP="009F1429">
      <w:pPr>
        <w:spacing w:after="0" w:line="240" w:lineRule="auto"/>
      </w:pPr>
      <w:r>
        <w:separator/>
      </w:r>
    </w:p>
  </w:footnote>
  <w:footnote w:type="continuationSeparator" w:id="0">
    <w:p w14:paraId="4540724D" w14:textId="77777777" w:rsidR="000356C6" w:rsidRDefault="000356C6" w:rsidP="009F1429">
      <w:pPr>
        <w:spacing w:after="0" w:line="240" w:lineRule="auto"/>
      </w:pPr>
      <w:r>
        <w:continuationSeparator/>
      </w:r>
    </w:p>
  </w:footnote>
  <w:footnote w:type="continuationNotice" w:id="1">
    <w:p w14:paraId="12D0FDFF" w14:textId="77777777" w:rsidR="000356C6" w:rsidRDefault="000356C6">
      <w:pPr>
        <w:spacing w:after="0" w:line="240" w:lineRule="auto"/>
      </w:pPr>
    </w:p>
  </w:footnote>
  <w:footnote w:id="2">
    <w:p w14:paraId="70096C1E" w14:textId="6DBCA985" w:rsidR="00C223D9" w:rsidRDefault="00C223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A755B6">
          <w:rPr>
            <w:rStyle w:val="Hyperlink"/>
          </w:rPr>
          <w:t>https://www.thefa.com/-/media/cfa/royalairforcefa/files/stratagies/raf---2021-24-business-reset-strategy_v7.ashx?la=en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80E28"/>
    <w:multiLevelType w:val="hybridMultilevel"/>
    <w:tmpl w:val="A23AF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53335"/>
    <w:multiLevelType w:val="hybridMultilevel"/>
    <w:tmpl w:val="1B94803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56223"/>
    <w:multiLevelType w:val="hybridMultilevel"/>
    <w:tmpl w:val="EC7CDFD2"/>
    <w:lvl w:ilvl="0" w:tplc="410A6C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60883"/>
    <w:multiLevelType w:val="hybridMultilevel"/>
    <w:tmpl w:val="D5723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B403D"/>
    <w:multiLevelType w:val="hybridMultilevel"/>
    <w:tmpl w:val="DD081D7A"/>
    <w:lvl w:ilvl="0" w:tplc="88F830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0C75A0"/>
    <w:multiLevelType w:val="hybridMultilevel"/>
    <w:tmpl w:val="80F6E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977EF"/>
    <w:multiLevelType w:val="hybridMultilevel"/>
    <w:tmpl w:val="E0628A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21087"/>
    <w:multiLevelType w:val="hybridMultilevel"/>
    <w:tmpl w:val="6D281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65BB3"/>
    <w:multiLevelType w:val="hybridMultilevel"/>
    <w:tmpl w:val="725C915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29"/>
    <w:rsid w:val="0000159D"/>
    <w:rsid w:val="00010048"/>
    <w:rsid w:val="000230C3"/>
    <w:rsid w:val="000356C6"/>
    <w:rsid w:val="00074EDA"/>
    <w:rsid w:val="000801DD"/>
    <w:rsid w:val="00082F4A"/>
    <w:rsid w:val="00087374"/>
    <w:rsid w:val="00093B58"/>
    <w:rsid w:val="00094A63"/>
    <w:rsid w:val="000B297A"/>
    <w:rsid w:val="000C2382"/>
    <w:rsid w:val="000C55F1"/>
    <w:rsid w:val="000C7E61"/>
    <w:rsid w:val="000D1BB1"/>
    <w:rsid w:val="000E3752"/>
    <w:rsid w:val="001356AE"/>
    <w:rsid w:val="0014600E"/>
    <w:rsid w:val="00150B52"/>
    <w:rsid w:val="001615F3"/>
    <w:rsid w:val="00165EF6"/>
    <w:rsid w:val="00167F85"/>
    <w:rsid w:val="00194AF2"/>
    <w:rsid w:val="001A33B7"/>
    <w:rsid w:val="001A37B3"/>
    <w:rsid w:val="001E0725"/>
    <w:rsid w:val="001E1472"/>
    <w:rsid w:val="001E4208"/>
    <w:rsid w:val="001F27E8"/>
    <w:rsid w:val="00204A91"/>
    <w:rsid w:val="00243055"/>
    <w:rsid w:val="00243875"/>
    <w:rsid w:val="00261229"/>
    <w:rsid w:val="002667C9"/>
    <w:rsid w:val="00274625"/>
    <w:rsid w:val="00276671"/>
    <w:rsid w:val="002821ED"/>
    <w:rsid w:val="0029015D"/>
    <w:rsid w:val="002B39AF"/>
    <w:rsid w:val="002C7699"/>
    <w:rsid w:val="002D4C53"/>
    <w:rsid w:val="002E1FDA"/>
    <w:rsid w:val="002E25A1"/>
    <w:rsid w:val="002E3752"/>
    <w:rsid w:val="002F3806"/>
    <w:rsid w:val="002F4E7D"/>
    <w:rsid w:val="002F55DD"/>
    <w:rsid w:val="00313FFE"/>
    <w:rsid w:val="00354129"/>
    <w:rsid w:val="003835CC"/>
    <w:rsid w:val="003973DE"/>
    <w:rsid w:val="003A0DC1"/>
    <w:rsid w:val="003B49C9"/>
    <w:rsid w:val="003B6627"/>
    <w:rsid w:val="003D0FA6"/>
    <w:rsid w:val="003D200A"/>
    <w:rsid w:val="003D2E58"/>
    <w:rsid w:val="003D50A1"/>
    <w:rsid w:val="003E3843"/>
    <w:rsid w:val="003E5363"/>
    <w:rsid w:val="00434360"/>
    <w:rsid w:val="004356A1"/>
    <w:rsid w:val="004405BE"/>
    <w:rsid w:val="004428DB"/>
    <w:rsid w:val="00452C85"/>
    <w:rsid w:val="00462D9B"/>
    <w:rsid w:val="004632C5"/>
    <w:rsid w:val="004B190A"/>
    <w:rsid w:val="004F00C4"/>
    <w:rsid w:val="005006CD"/>
    <w:rsid w:val="005024E4"/>
    <w:rsid w:val="0050289B"/>
    <w:rsid w:val="00521DBD"/>
    <w:rsid w:val="00527BDA"/>
    <w:rsid w:val="00530C06"/>
    <w:rsid w:val="00532D6D"/>
    <w:rsid w:val="00545ABC"/>
    <w:rsid w:val="00547D05"/>
    <w:rsid w:val="0055698E"/>
    <w:rsid w:val="00561B45"/>
    <w:rsid w:val="00570631"/>
    <w:rsid w:val="00581030"/>
    <w:rsid w:val="00585072"/>
    <w:rsid w:val="005E0546"/>
    <w:rsid w:val="005F4BE3"/>
    <w:rsid w:val="006047B6"/>
    <w:rsid w:val="00605548"/>
    <w:rsid w:val="0064071C"/>
    <w:rsid w:val="006609AE"/>
    <w:rsid w:val="0066334F"/>
    <w:rsid w:val="006645E9"/>
    <w:rsid w:val="00675F09"/>
    <w:rsid w:val="006848BE"/>
    <w:rsid w:val="00687D84"/>
    <w:rsid w:val="006A0C5C"/>
    <w:rsid w:val="006A34A1"/>
    <w:rsid w:val="006C4A91"/>
    <w:rsid w:val="006C6C62"/>
    <w:rsid w:val="006D2DC1"/>
    <w:rsid w:val="00701EC0"/>
    <w:rsid w:val="00750C3D"/>
    <w:rsid w:val="00751F5E"/>
    <w:rsid w:val="0076484A"/>
    <w:rsid w:val="007942B3"/>
    <w:rsid w:val="00794BC5"/>
    <w:rsid w:val="007A0FC6"/>
    <w:rsid w:val="007A519C"/>
    <w:rsid w:val="007B271F"/>
    <w:rsid w:val="007D2006"/>
    <w:rsid w:val="007D49DF"/>
    <w:rsid w:val="007D79ED"/>
    <w:rsid w:val="007E583A"/>
    <w:rsid w:val="007E7FDC"/>
    <w:rsid w:val="007F042C"/>
    <w:rsid w:val="007F30FE"/>
    <w:rsid w:val="007F6BDF"/>
    <w:rsid w:val="00805C9F"/>
    <w:rsid w:val="00846EFB"/>
    <w:rsid w:val="00884AC0"/>
    <w:rsid w:val="008925A7"/>
    <w:rsid w:val="00897164"/>
    <w:rsid w:val="008A312C"/>
    <w:rsid w:val="008B67C3"/>
    <w:rsid w:val="008C6045"/>
    <w:rsid w:val="008F2CBD"/>
    <w:rsid w:val="008F7DDD"/>
    <w:rsid w:val="0090028C"/>
    <w:rsid w:val="009017D3"/>
    <w:rsid w:val="00935744"/>
    <w:rsid w:val="00941047"/>
    <w:rsid w:val="009770D8"/>
    <w:rsid w:val="009848C6"/>
    <w:rsid w:val="009A0D35"/>
    <w:rsid w:val="009E1C18"/>
    <w:rsid w:val="009F1429"/>
    <w:rsid w:val="00A27883"/>
    <w:rsid w:val="00A405D1"/>
    <w:rsid w:val="00A62C86"/>
    <w:rsid w:val="00A667ED"/>
    <w:rsid w:val="00AA5B77"/>
    <w:rsid w:val="00AB79B8"/>
    <w:rsid w:val="00AC19DF"/>
    <w:rsid w:val="00AD55EB"/>
    <w:rsid w:val="00AD659F"/>
    <w:rsid w:val="00AE1219"/>
    <w:rsid w:val="00AE6153"/>
    <w:rsid w:val="00B10F2D"/>
    <w:rsid w:val="00B14ECE"/>
    <w:rsid w:val="00B2608D"/>
    <w:rsid w:val="00B51E04"/>
    <w:rsid w:val="00B55A53"/>
    <w:rsid w:val="00B63AAE"/>
    <w:rsid w:val="00B92A1F"/>
    <w:rsid w:val="00BB0809"/>
    <w:rsid w:val="00BC57D8"/>
    <w:rsid w:val="00BE0F56"/>
    <w:rsid w:val="00C00FD1"/>
    <w:rsid w:val="00C06638"/>
    <w:rsid w:val="00C223D9"/>
    <w:rsid w:val="00C2272F"/>
    <w:rsid w:val="00C61903"/>
    <w:rsid w:val="00C63BDB"/>
    <w:rsid w:val="00C70A4C"/>
    <w:rsid w:val="00C77A13"/>
    <w:rsid w:val="00C812AD"/>
    <w:rsid w:val="00CA335C"/>
    <w:rsid w:val="00CC6020"/>
    <w:rsid w:val="00D0668C"/>
    <w:rsid w:val="00D2256F"/>
    <w:rsid w:val="00D30AFE"/>
    <w:rsid w:val="00D34BEF"/>
    <w:rsid w:val="00D4092E"/>
    <w:rsid w:val="00D803B2"/>
    <w:rsid w:val="00DC504F"/>
    <w:rsid w:val="00DE1840"/>
    <w:rsid w:val="00E201C7"/>
    <w:rsid w:val="00E2418A"/>
    <w:rsid w:val="00E4356D"/>
    <w:rsid w:val="00E47518"/>
    <w:rsid w:val="00E51384"/>
    <w:rsid w:val="00E62283"/>
    <w:rsid w:val="00E622CF"/>
    <w:rsid w:val="00E63095"/>
    <w:rsid w:val="00E66C5B"/>
    <w:rsid w:val="00E76039"/>
    <w:rsid w:val="00E820B0"/>
    <w:rsid w:val="00E8732F"/>
    <w:rsid w:val="00EA3358"/>
    <w:rsid w:val="00EA38A5"/>
    <w:rsid w:val="00ED65CF"/>
    <w:rsid w:val="00ED762A"/>
    <w:rsid w:val="00F03B43"/>
    <w:rsid w:val="00F15DCE"/>
    <w:rsid w:val="00F31966"/>
    <w:rsid w:val="00F4208A"/>
    <w:rsid w:val="00F653E6"/>
    <w:rsid w:val="00F71E8A"/>
    <w:rsid w:val="00FA0667"/>
    <w:rsid w:val="00FB7427"/>
    <w:rsid w:val="00FD58A0"/>
    <w:rsid w:val="0B395052"/>
    <w:rsid w:val="16F8ABB2"/>
    <w:rsid w:val="21FB556D"/>
    <w:rsid w:val="2DF02D78"/>
    <w:rsid w:val="314464FD"/>
    <w:rsid w:val="32C6F183"/>
    <w:rsid w:val="398ED45C"/>
    <w:rsid w:val="3B8348E5"/>
    <w:rsid w:val="4500ECA1"/>
    <w:rsid w:val="55DEDC26"/>
    <w:rsid w:val="58C0CC67"/>
    <w:rsid w:val="593A49CD"/>
    <w:rsid w:val="5FE3136F"/>
    <w:rsid w:val="65B72174"/>
    <w:rsid w:val="74A9F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B37A0"/>
  <w15:chartTrackingRefBased/>
  <w15:docId w15:val="{430D5917-78FA-4A82-97F8-99F3263A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48B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223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23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23D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223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3D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F3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F2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CBD"/>
  </w:style>
  <w:style w:type="paragraph" w:styleId="Footer">
    <w:name w:val="footer"/>
    <w:basedOn w:val="Normal"/>
    <w:link w:val="FooterChar"/>
    <w:uiPriority w:val="99"/>
    <w:unhideWhenUsed/>
    <w:rsid w:val="008F2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CBD"/>
  </w:style>
  <w:style w:type="character" w:styleId="FollowedHyperlink">
    <w:name w:val="FollowedHyperlink"/>
    <w:basedOn w:val="DefaultParagraphFont"/>
    <w:uiPriority w:val="99"/>
    <w:semiHidden/>
    <w:unhideWhenUsed/>
    <w:rsid w:val="007D20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hefa.com/-/media/cfa/royalairforcefa/files/stratagies/raf---2021-24-business-reset-strategy_v7.ashx?la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83A4DBCEC164490EC9D2F8AEFC5C1" ma:contentTypeVersion="12" ma:contentTypeDescription="Create a new document." ma:contentTypeScope="" ma:versionID="335c7d9de3066bb44bf3bc2b7eb4a6eb">
  <xsd:schema xmlns:xsd="http://www.w3.org/2001/XMLSchema" xmlns:xs="http://www.w3.org/2001/XMLSchema" xmlns:p="http://schemas.microsoft.com/office/2006/metadata/properties" xmlns:ns3="6d4156f7-c766-47e7-a483-64af00e42e77" xmlns:ns4="d5419776-0a0d-4ee5-89cb-e2e5110fee55" targetNamespace="http://schemas.microsoft.com/office/2006/metadata/properties" ma:root="true" ma:fieldsID="43461caa78503c1089857cc60053f3b4" ns3:_="" ns4:_="">
    <xsd:import namespace="6d4156f7-c766-47e7-a483-64af00e42e77"/>
    <xsd:import namespace="d5419776-0a0d-4ee5-89cb-e2e5110fee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156f7-c766-47e7-a483-64af00e42e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9776-0a0d-4ee5-89cb-e2e5110fe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BEB493-A934-4D2D-AACE-B34161B48E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17887-AB65-4B67-95B6-DF3A58743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156f7-c766-47e7-a483-64af00e42e77"/>
    <ds:schemaRef ds:uri="d5419776-0a0d-4ee5-89cb-e2e5110fe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3F95E8-0A35-416B-A201-6695EA3145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B36D8F-4673-452D-8819-1C86710779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Links>
    <vt:vector size="6" baseType="variant">
      <vt:variant>
        <vt:i4>3211278</vt:i4>
      </vt:variant>
      <vt:variant>
        <vt:i4>0</vt:i4>
      </vt:variant>
      <vt:variant>
        <vt:i4>0</vt:i4>
      </vt:variant>
      <vt:variant>
        <vt:i4>5</vt:i4>
      </vt:variant>
      <vt:variant>
        <vt:lpwstr>https://www.thefa.com/-/media/cfa/royalairforcefa/files/stratagies/raf---2021-24-business-reset-strategy_v7.ashx?la=en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Blagojevic, Martin Sqn Ldr (Air-Support-Infra P&amp;P SO2)</dc:creator>
  <cp:keywords/>
  <dc:description/>
  <cp:lastModifiedBy>Portlock, Rachel Wg Cdr (People-PCD-ProjOff5)</cp:lastModifiedBy>
  <cp:revision>29</cp:revision>
  <dcterms:created xsi:type="dcterms:W3CDTF">2022-01-27T10:24:00Z</dcterms:created>
  <dcterms:modified xsi:type="dcterms:W3CDTF">2022-02-20T22:53:00Z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0x01010087F83A4DBCEC164490EC9D2F8AEFC5C1</vt:lpwstr>
  </property>
</Properties>
</file>