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A6" w:rsidRPr="00FE2168" w:rsidRDefault="00DF6C9D">
      <w:pPr>
        <w:rPr>
          <w:b/>
          <w:sz w:val="24"/>
        </w:rPr>
      </w:pPr>
      <w:r>
        <w:rPr>
          <w:b/>
          <w:sz w:val="24"/>
        </w:rPr>
        <w:t>Malpractice and Maladministration</w:t>
      </w:r>
      <w:r w:rsidR="00693FEB" w:rsidRPr="00FE2168">
        <w:rPr>
          <w:b/>
          <w:sz w:val="24"/>
        </w:rPr>
        <w:t xml:space="preserve"> Policy</w:t>
      </w:r>
    </w:p>
    <w:p w:rsidR="00ED3D7B" w:rsidRDefault="00ED3D7B" w:rsidP="00ED3D7B">
      <w:pPr>
        <w:spacing w:after="0"/>
      </w:pPr>
      <w:r w:rsidRPr="00110202">
        <w:t xml:space="preserve">Designated </w:t>
      </w:r>
      <w:r>
        <w:t>Appeals</w:t>
      </w:r>
      <w:r w:rsidRPr="00110202">
        <w:t xml:space="preserve"> Officer:</w:t>
      </w:r>
      <w:r>
        <w:t xml:space="preserve"> </w:t>
      </w:r>
      <w:r>
        <w:rPr>
          <w:color w:val="FF0000"/>
        </w:rPr>
        <w:t>Ian Tinto</w:t>
      </w:r>
    </w:p>
    <w:p w:rsidR="00ED3D7B" w:rsidRDefault="00ED3D7B" w:rsidP="00ED3D7B">
      <w:pPr>
        <w:spacing w:after="0"/>
        <w:rPr>
          <w:color w:val="FF0000"/>
        </w:rPr>
      </w:pPr>
      <w:r>
        <w:t xml:space="preserve">Writer/reviewer of this policy: </w:t>
      </w:r>
      <w:r>
        <w:rPr>
          <w:color w:val="FF0000"/>
        </w:rPr>
        <w:t>Nick Abraham</w:t>
      </w:r>
    </w:p>
    <w:p w:rsidR="00ED3D7B" w:rsidRPr="00FE2168" w:rsidRDefault="00ED3D7B" w:rsidP="00ED3D7B">
      <w:pPr>
        <w:spacing w:after="0"/>
      </w:pPr>
      <w:r w:rsidRPr="00FE2168">
        <w:t xml:space="preserve">Version: </w:t>
      </w:r>
      <w:r>
        <w:rPr>
          <w:color w:val="FF0000"/>
        </w:rPr>
        <w:t>1</w:t>
      </w:r>
      <w:r w:rsidRPr="00FE2168">
        <w:tab/>
      </w:r>
      <w:r w:rsidRPr="00FE2168">
        <w:tab/>
        <w:t>Date:</w:t>
      </w:r>
      <w:r>
        <w:t xml:space="preserve"> </w:t>
      </w:r>
      <w:r>
        <w:rPr>
          <w:color w:val="FF0000"/>
        </w:rPr>
        <w:t>13/07/2018</w:t>
      </w:r>
    </w:p>
    <w:p w:rsidR="00110202" w:rsidRDefault="00110202" w:rsidP="00110202">
      <w:pPr>
        <w:spacing w:after="0"/>
        <w:rPr>
          <w:color w:val="FF0000"/>
        </w:rPr>
      </w:pPr>
    </w:p>
    <w:p w:rsidR="00DF6C9D" w:rsidRDefault="00ED3D7B" w:rsidP="00DF6C9D">
      <w:pPr>
        <w:spacing w:after="0"/>
        <w:jc w:val="both"/>
        <w:rPr>
          <w:color w:val="FF0000"/>
        </w:rPr>
      </w:pPr>
      <w:r>
        <w:rPr>
          <w:color w:val="FF0000"/>
        </w:rPr>
        <w:t>Northamptonshire FA</w:t>
      </w:r>
      <w:r w:rsidR="00DF6C9D" w:rsidRPr="00DF6C9D">
        <w:rPr>
          <w:color w:val="FF0000"/>
        </w:rPr>
        <w:t xml:space="preserve"> </w:t>
      </w:r>
      <w:r w:rsidR="00DF6C9D" w:rsidRPr="00DF6C9D">
        <w:t xml:space="preserve">is committed to providing excellent services through their learning environments and by eliminating any suspected malpractice and maladministration in the management of our organisation and in the delivery of qualifications. [Insert name of centre] aims to promote accountability and to encourage the openness to disclose any allegations of malpractice and maladministration in the workplace. </w:t>
      </w:r>
    </w:p>
    <w:p w:rsidR="00DF6C9D" w:rsidRDefault="00DF6C9D" w:rsidP="00DF6C9D">
      <w:pPr>
        <w:spacing w:after="0"/>
        <w:jc w:val="both"/>
        <w:rPr>
          <w:color w:val="FF0000"/>
        </w:rPr>
      </w:pPr>
    </w:p>
    <w:p w:rsidR="000C0C91" w:rsidRDefault="00110202" w:rsidP="00DF6C9D">
      <w:pPr>
        <w:spacing w:after="0"/>
        <w:jc w:val="both"/>
      </w:pPr>
      <w:r w:rsidRPr="00110202">
        <w:t xml:space="preserve">The Head of Centre </w:t>
      </w:r>
      <w:r w:rsidR="00ED3D7B">
        <w:rPr>
          <w:color w:val="FF0000"/>
        </w:rPr>
        <w:t>Ian Tinto</w:t>
      </w:r>
      <w:bookmarkStart w:id="0" w:name="_GoBack"/>
      <w:bookmarkEnd w:id="0"/>
      <w:r w:rsidRPr="008A0F76">
        <w:rPr>
          <w:color w:val="FF0000"/>
        </w:rPr>
        <w:t xml:space="preserve"> </w:t>
      </w:r>
      <w:r w:rsidRPr="00110202">
        <w:t xml:space="preserve">is responsible </w:t>
      </w:r>
      <w:r w:rsidR="00FE2168">
        <w:t>for</w:t>
      </w:r>
      <w:r w:rsidRPr="00110202">
        <w:t xml:space="preserve"> ensur</w:t>
      </w:r>
      <w:r w:rsidR="00FE2168">
        <w:t xml:space="preserve">ing </w:t>
      </w:r>
      <w:r w:rsidRPr="00110202">
        <w:t>that this p</w:t>
      </w:r>
      <w:r w:rsidR="00FE2168">
        <w:t>olicy</w:t>
      </w:r>
      <w:r w:rsidRPr="00110202">
        <w:t xml:space="preserve"> is published</w:t>
      </w:r>
      <w:r w:rsidR="00FE2168">
        <w:t>, implemented</w:t>
      </w:r>
      <w:r w:rsidRPr="00110202">
        <w:t xml:space="preserve"> and accessible to all personnel, learners and any relevant third parties. </w:t>
      </w:r>
      <w:r w:rsidR="000C0C91">
        <w:t xml:space="preserve">The Head of Centre will also ensure that all personnel have read and understood this policy and that any amendments to the policy are communicated to relevant parties. </w:t>
      </w:r>
    </w:p>
    <w:p w:rsidR="000C0C91" w:rsidRDefault="000C0C91" w:rsidP="00110202">
      <w:pPr>
        <w:spacing w:after="0"/>
        <w:jc w:val="both"/>
      </w:pPr>
    </w:p>
    <w:p w:rsidR="00110202" w:rsidRPr="00110202" w:rsidRDefault="00110202" w:rsidP="00110202">
      <w:pPr>
        <w:spacing w:after="0"/>
        <w:jc w:val="both"/>
      </w:pPr>
      <w:r w:rsidRPr="00110202">
        <w:t xml:space="preserve">Learners should be made aware </w:t>
      </w:r>
      <w:r w:rsidRPr="00FE2168">
        <w:t xml:space="preserve">of </w:t>
      </w:r>
      <w:r w:rsidR="00FE2168" w:rsidRPr="00FE2168">
        <w:t>this</w:t>
      </w:r>
      <w:r w:rsidRPr="00FE2168">
        <w:t xml:space="preserve"> policy </w:t>
      </w:r>
      <w:r w:rsidRPr="00110202">
        <w:t xml:space="preserve">at the start of their course/programme and the policy should </w:t>
      </w:r>
      <w:r w:rsidR="00FE2168">
        <w:t xml:space="preserve">be </w:t>
      </w:r>
      <w:r w:rsidRPr="00110202">
        <w:t>eas</w:t>
      </w:r>
      <w:r w:rsidR="00FE2168">
        <w:t>ily</w:t>
      </w:r>
      <w:r w:rsidRPr="00110202">
        <w:t xml:space="preserve"> accessible (website, intranet, booklets).</w:t>
      </w:r>
    </w:p>
    <w:p w:rsidR="00110202" w:rsidRDefault="00110202" w:rsidP="00110202">
      <w:pPr>
        <w:spacing w:after="0"/>
      </w:pPr>
    </w:p>
    <w:p w:rsidR="008D667E" w:rsidRDefault="008D667E" w:rsidP="00DF6C9D">
      <w:pPr>
        <w:autoSpaceDE w:val="0"/>
        <w:autoSpaceDN w:val="0"/>
        <w:adjustRightInd w:val="0"/>
        <w:spacing w:after="0" w:line="240" w:lineRule="auto"/>
        <w:jc w:val="both"/>
        <w:rPr>
          <w:b/>
          <w:color w:val="000000"/>
        </w:rPr>
      </w:pPr>
      <w:r w:rsidRPr="008713D4">
        <w:rPr>
          <w:b/>
          <w:color w:val="000000"/>
        </w:rPr>
        <w:t>Objectives</w:t>
      </w:r>
    </w:p>
    <w:p w:rsidR="00DF6C9D" w:rsidRPr="008713D4" w:rsidRDefault="00DF6C9D" w:rsidP="00DF6C9D">
      <w:pPr>
        <w:autoSpaceDE w:val="0"/>
        <w:autoSpaceDN w:val="0"/>
        <w:adjustRightInd w:val="0"/>
        <w:spacing w:after="0" w:line="240" w:lineRule="auto"/>
        <w:jc w:val="both"/>
        <w:rPr>
          <w:b/>
          <w:color w:val="000000"/>
        </w:rPr>
      </w:pPr>
    </w:p>
    <w:p w:rsidR="00DF6C9D" w:rsidRPr="00DF6C9D" w:rsidRDefault="00DF6C9D" w:rsidP="00DF6C9D">
      <w:pPr>
        <w:spacing w:after="0"/>
        <w:jc w:val="both"/>
        <w:rPr>
          <w:color w:val="000000"/>
        </w:rPr>
      </w:pPr>
      <w:r>
        <w:rPr>
          <w:color w:val="000000"/>
        </w:rPr>
        <w:t>T</w:t>
      </w:r>
      <w:r w:rsidRPr="00DF6C9D">
        <w:rPr>
          <w:color w:val="000000"/>
        </w:rPr>
        <w:t>he key objective</w:t>
      </w:r>
      <w:r>
        <w:rPr>
          <w:color w:val="000000"/>
        </w:rPr>
        <w:t xml:space="preserve"> of this policy</w:t>
      </w:r>
      <w:r w:rsidRPr="00DF6C9D">
        <w:rPr>
          <w:color w:val="000000"/>
        </w:rPr>
        <w:t xml:space="preserve"> is to mitigate and/or manage any adverse effects</w:t>
      </w:r>
      <w:r>
        <w:rPr>
          <w:color w:val="000000"/>
        </w:rPr>
        <w:t xml:space="preserve"> that could arise from malpractice/maladministration</w:t>
      </w:r>
      <w:r w:rsidRPr="00DF6C9D">
        <w:rPr>
          <w:color w:val="000000"/>
        </w:rPr>
        <w:t>.  Examples of malpractice or maladministration</w:t>
      </w:r>
      <w:r>
        <w:rPr>
          <w:color w:val="000000"/>
        </w:rPr>
        <w:t xml:space="preserve"> may </w:t>
      </w:r>
      <w:r w:rsidRPr="00DF6C9D">
        <w:rPr>
          <w:color w:val="000000"/>
        </w:rPr>
        <w:t>include:</w:t>
      </w:r>
    </w:p>
    <w:p w:rsidR="00DF6C9D" w:rsidRPr="00DF6C9D" w:rsidRDefault="00DF6C9D" w:rsidP="00DF6C9D">
      <w:pPr>
        <w:spacing w:after="0"/>
        <w:rPr>
          <w:color w:val="000000"/>
        </w:rPr>
      </w:pPr>
    </w:p>
    <w:p w:rsidR="00DF6C9D" w:rsidRPr="00DF6C9D" w:rsidRDefault="00DF6C9D" w:rsidP="00DF6C9D">
      <w:pPr>
        <w:pStyle w:val="ListParagraph"/>
        <w:numPr>
          <w:ilvl w:val="0"/>
          <w:numId w:val="2"/>
        </w:numPr>
        <w:spacing w:after="0"/>
        <w:rPr>
          <w:color w:val="000000"/>
        </w:rPr>
      </w:pPr>
      <w:r>
        <w:rPr>
          <w:color w:val="000000"/>
        </w:rPr>
        <w:t xml:space="preserve">a learner </w:t>
      </w:r>
      <w:r w:rsidRPr="00DF6C9D">
        <w:rPr>
          <w:color w:val="000000"/>
        </w:rPr>
        <w:t>committing plagiarism by copying and passing off the whole or part(s) of another person’s work, with or without the originator’s permission and without appropriately acknowledg</w:t>
      </w:r>
      <w:r>
        <w:rPr>
          <w:color w:val="000000"/>
        </w:rPr>
        <w:t>ing</w:t>
      </w:r>
      <w:r w:rsidRPr="00DF6C9D">
        <w:rPr>
          <w:color w:val="000000"/>
        </w:rPr>
        <w:t xml:space="preserve"> the source. </w:t>
      </w:r>
    </w:p>
    <w:p w:rsidR="00DF6C9D" w:rsidRPr="00DF6C9D" w:rsidRDefault="00DF6C9D" w:rsidP="00DF6C9D">
      <w:pPr>
        <w:pStyle w:val="ListParagraph"/>
        <w:numPr>
          <w:ilvl w:val="0"/>
          <w:numId w:val="2"/>
        </w:numPr>
        <w:spacing w:after="0"/>
        <w:rPr>
          <w:color w:val="000000"/>
        </w:rPr>
      </w:pPr>
      <w:r w:rsidRPr="00DF6C9D">
        <w:rPr>
          <w:color w:val="000000"/>
        </w:rPr>
        <w:t>failing to comply with the assessor’s/invigilator’s instructions and/or 1st4sport</w:t>
      </w:r>
      <w:r>
        <w:rPr>
          <w:color w:val="000000"/>
        </w:rPr>
        <w:t xml:space="preserve"> Qualification</w:t>
      </w:r>
      <w:r w:rsidRPr="00DF6C9D">
        <w:rPr>
          <w:color w:val="000000"/>
        </w:rPr>
        <w:t>’s regulation</w:t>
      </w:r>
      <w:r>
        <w:rPr>
          <w:color w:val="000000"/>
        </w:rPr>
        <w:t>s in relation to the assessment.</w:t>
      </w:r>
    </w:p>
    <w:p w:rsidR="00DF6C9D" w:rsidRPr="00DF6C9D" w:rsidRDefault="00DF6C9D" w:rsidP="00DF6C9D">
      <w:pPr>
        <w:pStyle w:val="ListParagraph"/>
        <w:numPr>
          <w:ilvl w:val="0"/>
          <w:numId w:val="2"/>
        </w:numPr>
        <w:spacing w:after="0"/>
        <w:rPr>
          <w:color w:val="000000"/>
        </w:rPr>
      </w:pPr>
      <w:r w:rsidRPr="00DF6C9D">
        <w:rPr>
          <w:color w:val="000000"/>
        </w:rPr>
        <w:t>misusing assessment material</w:t>
      </w:r>
      <w:r>
        <w:rPr>
          <w:color w:val="000000"/>
        </w:rPr>
        <w:t>.</w:t>
      </w:r>
      <w:r w:rsidRPr="00DF6C9D">
        <w:rPr>
          <w:color w:val="000000"/>
        </w:rPr>
        <w:t xml:space="preserve"> </w:t>
      </w:r>
    </w:p>
    <w:p w:rsidR="00DF6C9D" w:rsidRPr="00DF6C9D" w:rsidRDefault="00DF6C9D" w:rsidP="00DF6C9D">
      <w:pPr>
        <w:pStyle w:val="ListParagraph"/>
        <w:numPr>
          <w:ilvl w:val="0"/>
          <w:numId w:val="2"/>
        </w:numPr>
        <w:spacing w:after="0"/>
        <w:rPr>
          <w:color w:val="000000"/>
        </w:rPr>
      </w:pPr>
      <w:r w:rsidRPr="00DF6C9D">
        <w:rPr>
          <w:color w:val="000000"/>
        </w:rPr>
        <w:t>impersonating others by pretending to be someone else, in order to produce the work for another, or arranging for another to take one’s place in an assessment</w:t>
      </w:r>
      <w:r>
        <w:rPr>
          <w:color w:val="000000"/>
        </w:rPr>
        <w:t>.</w:t>
      </w:r>
    </w:p>
    <w:p w:rsidR="00DF6C9D" w:rsidRPr="00DF6C9D" w:rsidRDefault="00DF6C9D" w:rsidP="00DF6C9D">
      <w:pPr>
        <w:pStyle w:val="ListParagraph"/>
        <w:numPr>
          <w:ilvl w:val="0"/>
          <w:numId w:val="2"/>
        </w:numPr>
        <w:spacing w:after="0"/>
        <w:rPr>
          <w:color w:val="000000"/>
        </w:rPr>
      </w:pPr>
      <w:r w:rsidRPr="00DF6C9D">
        <w:rPr>
          <w:color w:val="000000"/>
        </w:rPr>
        <w:t>misusing the access arrangements via reasonable adjustments or special considerations with the aim of influencing the outcome of the assessment</w:t>
      </w:r>
      <w:r>
        <w:rPr>
          <w:color w:val="000000"/>
        </w:rPr>
        <w:t>.</w:t>
      </w:r>
    </w:p>
    <w:p w:rsidR="00DF6C9D" w:rsidRPr="00DF6C9D" w:rsidRDefault="00DF6C9D" w:rsidP="00DF6C9D">
      <w:pPr>
        <w:pStyle w:val="ListParagraph"/>
        <w:numPr>
          <w:ilvl w:val="0"/>
          <w:numId w:val="2"/>
        </w:numPr>
        <w:spacing w:after="0"/>
        <w:rPr>
          <w:color w:val="000000"/>
        </w:rPr>
      </w:pPr>
      <w:r w:rsidRPr="00DF6C9D">
        <w:rPr>
          <w:color w:val="000000"/>
        </w:rPr>
        <w:t>failing to comply with qualification, assessment and 1st4sport Qualification conditions and regulations.</w:t>
      </w:r>
    </w:p>
    <w:p w:rsidR="00DF6C9D" w:rsidRPr="00DF6C9D" w:rsidRDefault="00DF6C9D" w:rsidP="00DF6C9D">
      <w:pPr>
        <w:pStyle w:val="ListParagraph"/>
        <w:numPr>
          <w:ilvl w:val="0"/>
          <w:numId w:val="2"/>
        </w:numPr>
        <w:spacing w:after="0"/>
        <w:rPr>
          <w:color w:val="000000"/>
        </w:rPr>
      </w:pPr>
      <w:r w:rsidRPr="00DF6C9D">
        <w:rPr>
          <w:color w:val="000000"/>
        </w:rPr>
        <w:t>behaving in such a way as to undermine the integrity of the assessment</w:t>
      </w:r>
      <w:r>
        <w:rPr>
          <w:color w:val="000000"/>
        </w:rPr>
        <w:t>.</w:t>
      </w:r>
    </w:p>
    <w:p w:rsidR="00DF6C9D" w:rsidRPr="00DF6C9D" w:rsidRDefault="00DF6C9D" w:rsidP="00DF6C9D">
      <w:pPr>
        <w:pStyle w:val="ListParagraph"/>
        <w:numPr>
          <w:ilvl w:val="0"/>
          <w:numId w:val="2"/>
        </w:numPr>
        <w:spacing w:after="0"/>
        <w:rPr>
          <w:color w:val="000000"/>
        </w:rPr>
      </w:pPr>
      <w:r w:rsidRPr="00DF6C9D">
        <w:rPr>
          <w:color w:val="000000"/>
        </w:rPr>
        <w:t>fabricating and/or altering results and/or evidence, documents and fraudulent claiming of certificates</w:t>
      </w:r>
      <w:r>
        <w:rPr>
          <w:color w:val="000000"/>
        </w:rPr>
        <w:t>.</w:t>
      </w:r>
    </w:p>
    <w:p w:rsidR="008D667E" w:rsidRDefault="008D667E" w:rsidP="00110202">
      <w:pPr>
        <w:spacing w:after="0"/>
      </w:pPr>
    </w:p>
    <w:p w:rsidR="00DF6C9D" w:rsidRDefault="00DF6C9D" w:rsidP="00DF6C9D">
      <w:pPr>
        <w:autoSpaceDE w:val="0"/>
        <w:autoSpaceDN w:val="0"/>
        <w:adjustRightInd w:val="0"/>
        <w:jc w:val="both"/>
        <w:rPr>
          <w:b/>
          <w:color w:val="000000"/>
        </w:rPr>
      </w:pPr>
      <w:r>
        <w:rPr>
          <w:b/>
          <w:color w:val="000000"/>
        </w:rPr>
        <w:br w:type="page"/>
      </w:r>
    </w:p>
    <w:p w:rsidR="00DF6C9D" w:rsidRDefault="00DF6C9D" w:rsidP="00DF6C9D">
      <w:pPr>
        <w:autoSpaceDE w:val="0"/>
        <w:autoSpaceDN w:val="0"/>
        <w:adjustRightInd w:val="0"/>
        <w:jc w:val="both"/>
        <w:rPr>
          <w:b/>
          <w:color w:val="000000"/>
        </w:rPr>
      </w:pPr>
      <w:r>
        <w:rPr>
          <w:b/>
          <w:color w:val="000000"/>
        </w:rPr>
        <w:lastRenderedPageBreak/>
        <w:t>Definitions</w:t>
      </w:r>
    </w:p>
    <w:p w:rsidR="00DF6C9D" w:rsidRPr="00DF6C9D" w:rsidRDefault="00924483" w:rsidP="00DF6C9D">
      <w:pPr>
        <w:jc w:val="both"/>
        <w:rPr>
          <w:rFonts w:eastAsia="Times New Roman" w:cs="Arial"/>
          <w:sz w:val="24"/>
          <w:lang w:eastAsia="en-GB"/>
        </w:rPr>
      </w:pPr>
      <w:r>
        <w:rPr>
          <w:noProof/>
          <w:lang w:eastAsia="en-GB"/>
        </w:rPr>
        <mc:AlternateContent>
          <mc:Choice Requires="wps">
            <w:drawing>
              <wp:anchor distT="91440" distB="91440" distL="137160" distR="137160" simplePos="0" relativeHeight="251663360" behindDoc="0" locked="0" layoutInCell="0" allowOverlap="1" wp14:anchorId="77099A69" wp14:editId="4675A32F">
                <wp:simplePos x="0" y="0"/>
                <wp:positionH relativeFrom="margin">
                  <wp:posOffset>2492375</wp:posOffset>
                </wp:positionH>
                <wp:positionV relativeFrom="margin">
                  <wp:posOffset>1017905</wp:posOffset>
                </wp:positionV>
                <wp:extent cx="784225" cy="5763895"/>
                <wp:effectExtent l="5715" t="0" r="2540" b="2540"/>
                <wp:wrapSquare wrapText="bothSides"/>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84225" cy="5763895"/>
                        </a:xfrm>
                        <a:prstGeom prst="roundRect">
                          <a:avLst>
                            <a:gd name="adj" fmla="val 13032"/>
                          </a:avLst>
                        </a:prstGeom>
                        <a:solidFill>
                          <a:srgbClr val="4F81BD"/>
                        </a:solidFill>
                        <a:extLst/>
                      </wps:spPr>
                      <wps:txbx>
                        <w:txbxContent>
                          <w:p w:rsidR="001F74AE" w:rsidRPr="001F74AE" w:rsidRDefault="00924483" w:rsidP="001F74AE">
                            <w:pPr>
                              <w:jc w:val="center"/>
                              <w:rPr>
                                <w:rFonts w:eastAsiaTheme="majorEastAsia" w:cs="Arial"/>
                                <w:iCs/>
                                <w:color w:val="FFFFFF" w:themeColor="background1"/>
                              </w:rPr>
                            </w:pPr>
                            <w:r>
                              <w:rPr>
                                <w:rFonts w:eastAsiaTheme="majorEastAsia" w:cs="Arial"/>
                                <w:iCs/>
                                <w:color w:val="FFFFFF" w:themeColor="background1"/>
                              </w:rPr>
                              <w:t xml:space="preserve">Allegations of malpractice/maladministration should be reported to the Designated Malpractice/Maladministration Officer by completing the Malpractice/Maladministration </w:t>
                            </w:r>
                            <w:r w:rsidR="00DA07C2">
                              <w:rPr>
                                <w:rFonts w:eastAsiaTheme="majorEastAsia" w:cs="Arial"/>
                                <w:iCs/>
                                <w:color w:val="FFFFFF" w:themeColor="background1"/>
                              </w:rPr>
                              <w:t xml:space="preserve">Allegation </w:t>
                            </w:r>
                            <w:r>
                              <w:rPr>
                                <w:rFonts w:eastAsiaTheme="majorEastAsia" w:cs="Arial"/>
                                <w:iCs/>
                                <w:color w:val="FFFFFF" w:themeColor="background1"/>
                              </w:rPr>
                              <w:t>Report Form</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7099A69" id="AutoShape 2" o:spid="_x0000_s1026" style="position:absolute;left:0;text-align:left;margin-left:196.25pt;margin-top:80.15pt;width:61.75pt;height:453.85pt;rotation:90;z-index:2516633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rhIwIAACEEAAAOAAAAZHJzL2Uyb0RvYy54bWysU9uO0zAQfUfiHyy/0zRputtGTVdLqyKk&#10;BVYsfIBjOxdIPGbsNilfz8Ttli68IfxgeTzjM2fOjFd3Q9eyg0bXgMl5PJlypo0E1Zgq51+/7N4s&#10;OHNeGCVaMDrnR+343fr1q1VvM51ADa3SyAjEuKy3Oa+9t1kUOVnrTrgJWG3IWQJ2wpOJVaRQ9ITe&#10;tVEynd5EPaCyCFI7R7fbk5OvA35Zauk/laXTnrU5J24+7Bj2Ytyj9UpkFQpbN/JMQ/wDi040hpJe&#10;oLbCC7bH5i+orpEIDko/kdBFUJaN1KEGqiae/lHNUy2sDrWQOM5eZHL/D1Z+PDwia1TOl5wZ0VGL&#10;7vceQmaWjPL01mUU9WQfcSzQ2QeQ3x0zsKmFqfQ9IvS1FopIxWN89OLBaDh6yor+AyhCF4QelBpK&#10;7BgCdWSeTscVbkkRNoT2HC/t0YNnki5vF2mSzDmT5Jrf3swWy3lIKLIRayRn0fl3Gjo2HnKOsDfq&#10;M81AgBaHB+dDj9S5UqG+cVZ2LXX8IFoWz6azUHIksnMwnZ4xQ/HQNmrXtG0wsCo2LTJ6mvN0t4jf&#10;bs903HUYsae8z8KMWpw09UMxBOEvKhegjqRU0IRmlX4V1VAD/uSspwnNufuxF6g5a98bUnsZp+k4&#10;0sFI57cJGXjtKa49wkiCyrn0yNnJ2PjTR9hbbKqacsVBJwPjBJTNhfOJ17mzNId0ejHo13aI+v2z&#10;178AAAD//wMAUEsDBBQABgAIAAAAIQCD9lMr4gAAAAgBAAAPAAAAZHJzL2Rvd25yZXYueG1sTI/B&#10;TsMwEETvSPyDtUhcqtZpIaUNcSqoxAFVEaLlADc3WZKo9jqKnSb9e5YT3GY1o5m36Wa0Rpyx840j&#10;BfNZBAKpcGVDlYKPw8t0BcIHTaU2jlDBBT1ssuurVCelG+gdz/tQCS4hn2gFdQhtIqUvarTaz1yL&#10;xN6366wOfHaVLDs9cLk1chFFS2l1Q7xQ6xa3NRanfW8V3L09m+Hr0u9eJ1vTT/JT7trPXKnbm/Hp&#10;EUTAMfyF4Ref0SFjpqPrqfTCKLjnnII4XrBgex2t5iCOCpYP8Rpklsr/D2Q/AAAA//8DAFBLAQIt&#10;ABQABgAIAAAAIQC2gziS/gAAAOEBAAATAAAAAAAAAAAAAAAAAAAAAABbQ29udGVudF9UeXBlc10u&#10;eG1sUEsBAi0AFAAGAAgAAAAhADj9If/WAAAAlAEAAAsAAAAAAAAAAAAAAAAALwEAAF9yZWxzLy5y&#10;ZWxzUEsBAi0AFAAGAAgAAAAhAAh++uEjAgAAIQQAAA4AAAAAAAAAAAAAAAAALgIAAGRycy9lMm9E&#10;b2MueG1sUEsBAi0AFAAGAAgAAAAhAIP2UyviAAAACAEAAA8AAAAAAAAAAAAAAAAAfQQAAGRycy9k&#10;b3ducmV2LnhtbFBLBQYAAAAABAAEAPMAAACMBQAAAAA=&#10;" o:allowincell="f" fillcolor="#4f81bd" stroked="f">
                <v:textbox>
                  <w:txbxContent>
                    <w:p w:rsidR="001F74AE" w:rsidRPr="001F74AE" w:rsidRDefault="00924483" w:rsidP="001F74AE">
                      <w:pPr>
                        <w:jc w:val="center"/>
                        <w:rPr>
                          <w:rFonts w:eastAsiaTheme="majorEastAsia" w:cs="Arial"/>
                          <w:iCs/>
                          <w:color w:val="FFFFFF" w:themeColor="background1"/>
                        </w:rPr>
                      </w:pPr>
                      <w:r>
                        <w:rPr>
                          <w:rFonts w:eastAsiaTheme="majorEastAsia" w:cs="Arial"/>
                          <w:iCs/>
                          <w:color w:val="FFFFFF" w:themeColor="background1"/>
                        </w:rPr>
                        <w:t xml:space="preserve">Allegations of malpractice/maladministration should be reported to the Designated Malpractice/Maladministration Officer by completing the Malpractice/Maladministration </w:t>
                      </w:r>
                      <w:r w:rsidR="00DA07C2">
                        <w:rPr>
                          <w:rFonts w:eastAsiaTheme="majorEastAsia" w:cs="Arial"/>
                          <w:iCs/>
                          <w:color w:val="FFFFFF" w:themeColor="background1"/>
                        </w:rPr>
                        <w:t xml:space="preserve">Allegation </w:t>
                      </w:r>
                      <w:r>
                        <w:rPr>
                          <w:rFonts w:eastAsiaTheme="majorEastAsia" w:cs="Arial"/>
                          <w:iCs/>
                          <w:color w:val="FFFFFF" w:themeColor="background1"/>
                        </w:rPr>
                        <w:t>Report Form</w:t>
                      </w:r>
                    </w:p>
                  </w:txbxContent>
                </v:textbox>
                <w10:wrap type="square" anchorx="margin" anchory="margin"/>
              </v:roundrect>
            </w:pict>
          </mc:Fallback>
        </mc:AlternateContent>
      </w:r>
      <w:r w:rsidR="00DF6C9D" w:rsidRPr="00DF6C9D">
        <w:rPr>
          <w:b/>
        </w:rPr>
        <w:t>Malpractice</w:t>
      </w:r>
      <w:r w:rsidR="00DF6C9D" w:rsidRPr="00DF6C9D">
        <w:t xml:space="preserve"> is defined </w:t>
      </w:r>
      <w:r w:rsidR="00DF6C9D" w:rsidRPr="00DF6C9D">
        <w:rPr>
          <w:rFonts w:eastAsia="Times New Roman" w:cs="Arial"/>
          <w:lang w:eastAsia="en-GB"/>
        </w:rPr>
        <w:t xml:space="preserve">as any </w:t>
      </w:r>
      <w:r w:rsidR="00DF6C9D" w:rsidRPr="00DF6C9D">
        <w:rPr>
          <w:rFonts w:eastAsia="Times New Roman" w:cs="Arial"/>
          <w:b/>
          <w:lang w:eastAsia="en-GB"/>
        </w:rPr>
        <w:t>deliberate</w:t>
      </w:r>
      <w:r w:rsidR="00DF6C9D" w:rsidRPr="00DF6C9D">
        <w:rPr>
          <w:rFonts w:eastAsia="Times New Roman" w:cs="Arial"/>
          <w:lang w:eastAsia="en-GB"/>
        </w:rPr>
        <w:t xml:space="preserve"> activity, neglect, default or other practice that is unethical or unlawful, which breaches regulations and which compromises the integrity </w:t>
      </w:r>
      <w:r w:rsidR="00DF6C9D">
        <w:rPr>
          <w:rFonts w:eastAsia="Times New Roman" w:cs="Arial"/>
          <w:lang w:eastAsia="en-GB"/>
        </w:rPr>
        <w:t xml:space="preserve">of </w:t>
      </w:r>
      <w:r w:rsidR="00DF6C9D" w:rsidRPr="00DF6C9D">
        <w:rPr>
          <w:rFonts w:eastAsia="Times New Roman" w:cs="Arial"/>
          <w:lang w:eastAsia="en-GB"/>
        </w:rPr>
        <w:t xml:space="preserve">our organisational statuses, financial stability, reputation, the reputation of our stakeholders and the qualifications and related assessments we are approved to deliver.. </w:t>
      </w:r>
    </w:p>
    <w:p w:rsidR="00DF6C9D" w:rsidRPr="00DF6C9D" w:rsidRDefault="00DF6C9D" w:rsidP="00DF6C9D">
      <w:pPr>
        <w:spacing w:after="0"/>
        <w:jc w:val="both"/>
        <w:rPr>
          <w:rFonts w:cs="Verdana"/>
          <w:color w:val="000000"/>
          <w:szCs w:val="20"/>
          <w:lang w:eastAsia="en-GB"/>
        </w:rPr>
      </w:pPr>
      <w:r w:rsidRPr="00DF6C9D">
        <w:rPr>
          <w:b/>
        </w:rPr>
        <w:t>Maladministration</w:t>
      </w:r>
      <w:r w:rsidRPr="00DF6C9D">
        <w:t xml:space="preserve"> </w:t>
      </w:r>
      <w:r w:rsidRPr="00DF6C9D">
        <w:rPr>
          <w:rFonts w:cs="Verdana"/>
          <w:color w:val="000000"/>
          <w:szCs w:val="20"/>
          <w:lang w:eastAsia="en-GB"/>
        </w:rPr>
        <w:t xml:space="preserve">is any activity which is </w:t>
      </w:r>
      <w:r w:rsidRPr="00DF6C9D">
        <w:rPr>
          <w:rFonts w:cs="Verdana"/>
          <w:b/>
          <w:bCs/>
          <w:color w:val="000000"/>
          <w:szCs w:val="20"/>
          <w:lang w:eastAsia="en-GB"/>
        </w:rPr>
        <w:t>not deliberate</w:t>
      </w:r>
      <w:r w:rsidRPr="00DF6C9D">
        <w:rPr>
          <w:rFonts w:cs="Verdana"/>
          <w:color w:val="000000"/>
          <w:szCs w:val="20"/>
          <w:lang w:eastAsia="en-GB"/>
        </w:rPr>
        <w:t>, but which neglects, defaults on regulation, conditions placed upon us by awarding organisations or compromises the integrity</w:t>
      </w:r>
      <w:r>
        <w:rPr>
          <w:rFonts w:cs="Verdana"/>
          <w:color w:val="000000"/>
          <w:szCs w:val="20"/>
          <w:lang w:eastAsia="en-GB"/>
        </w:rPr>
        <w:t xml:space="preserve"> of</w:t>
      </w:r>
      <w:r w:rsidRPr="00DF6C9D">
        <w:rPr>
          <w:rFonts w:cs="Verdana"/>
          <w:color w:val="000000"/>
          <w:szCs w:val="20"/>
          <w:lang w:eastAsia="en-GB"/>
        </w:rPr>
        <w:t xml:space="preserve"> our organisational statuses, financial stability, reputation, the reputation of our stakeholders and the qualifications and related assessments we are approved to deliver. This includes accidental non-compliance with any</w:t>
      </w:r>
      <w:r>
        <w:rPr>
          <w:rFonts w:cs="Verdana"/>
          <w:color w:val="000000"/>
          <w:szCs w:val="20"/>
          <w:lang w:eastAsia="en-GB"/>
        </w:rPr>
        <w:t xml:space="preserve"> centre</w:t>
      </w:r>
      <w:r w:rsidRPr="00DF6C9D">
        <w:rPr>
          <w:color w:val="000000"/>
          <w:szCs w:val="20"/>
        </w:rPr>
        <w:t xml:space="preserve"> </w:t>
      </w:r>
      <w:r>
        <w:rPr>
          <w:rFonts w:cs="Verdana"/>
          <w:color w:val="000000"/>
          <w:szCs w:val="20"/>
          <w:lang w:eastAsia="en-GB"/>
        </w:rPr>
        <w:t>policy, procedure or</w:t>
      </w:r>
      <w:r w:rsidRPr="00DF6C9D">
        <w:rPr>
          <w:rFonts w:cs="Verdana"/>
          <w:color w:val="000000"/>
          <w:szCs w:val="20"/>
          <w:lang w:eastAsia="en-GB"/>
        </w:rPr>
        <w:t xml:space="preserve"> guidance.</w:t>
      </w:r>
    </w:p>
    <w:p w:rsidR="00DF6C9D" w:rsidRDefault="00605A36" w:rsidP="00110202">
      <w:pPr>
        <w:spacing w:after="0"/>
      </w:pPr>
      <w:r>
        <w:rPr>
          <w:noProof/>
          <w:lang w:eastAsia="en-GB"/>
        </w:rPr>
        <mc:AlternateContent>
          <mc:Choice Requires="wps">
            <w:drawing>
              <wp:anchor distT="91440" distB="91440" distL="137160" distR="137160" simplePos="0" relativeHeight="251668480" behindDoc="0" locked="0" layoutInCell="0" allowOverlap="1" wp14:anchorId="25CE8737" wp14:editId="7F26199A">
                <wp:simplePos x="0" y="0"/>
                <wp:positionH relativeFrom="margin">
                  <wp:posOffset>2495550</wp:posOffset>
                </wp:positionH>
                <wp:positionV relativeFrom="margin">
                  <wp:posOffset>2236470</wp:posOffset>
                </wp:positionV>
                <wp:extent cx="784225" cy="5763895"/>
                <wp:effectExtent l="5715" t="0" r="2540" b="254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84225" cy="5763895"/>
                        </a:xfrm>
                        <a:prstGeom prst="roundRect">
                          <a:avLst>
                            <a:gd name="adj" fmla="val 13032"/>
                          </a:avLst>
                        </a:prstGeom>
                        <a:solidFill>
                          <a:srgbClr val="4F81BD"/>
                        </a:solidFill>
                        <a:extLst/>
                      </wps:spPr>
                      <wps:txbx>
                        <w:txbxContent>
                          <w:p w:rsidR="00605A36" w:rsidRPr="001F74AE" w:rsidRDefault="00605A36" w:rsidP="00605A36">
                            <w:pPr>
                              <w:jc w:val="center"/>
                              <w:rPr>
                                <w:rFonts w:eastAsiaTheme="majorEastAsia" w:cs="Arial"/>
                                <w:iCs/>
                                <w:color w:val="FFFFFF" w:themeColor="background1"/>
                              </w:rPr>
                            </w:pPr>
                            <w:r>
                              <w:rPr>
                                <w:rFonts w:eastAsiaTheme="majorEastAsia" w:cs="Arial"/>
                                <w:iCs/>
                                <w:color w:val="FFFFFF" w:themeColor="background1"/>
                              </w:rPr>
                              <w:t>The Designated Malpractice/Maladministration Officer will inform the 1st4sport Qualifications Compliance and Risk Team and will then evaluate the evidence and investigate as required.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5CE8737" id="_x0000_s1027" style="position:absolute;margin-left:196.5pt;margin-top:176.1pt;width:61.75pt;height:453.85pt;rotation:90;z-index:25166848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sgvIwIAACEEAAAOAAAAZHJzL2Uyb0RvYy54bWysU9uO0zAQfUfiHyy/0zRputuNmq6WVkVI&#10;C6xY+ADHdi6QeMzYbVK+nol7oQtvCD9YHs/4zJkz4+X90LVsr9E1YHIeT6acaSNBNabK+dcv2zcL&#10;zpwXRokWjM75QTt+v3r9atnbTCdQQ6s0MgIxLuttzmvvbRZFTta6E24CVhtyloCd8GRiFSkUPaF3&#10;bZRMpzdRD6gsgtTO0e3m6OSrgF+WWvpPZem0Z23OiZsPO4a9GPdotRRZhcLWjTzREP/AohONoaQX&#10;qI3wgu2w+QuqaySCg9JPJHQRlGUjdaiBqomnf1TzXAurQy0kjrMXmdz/g5Uf90/IGkW948yIjlr0&#10;sPMQMrNklKe3LqOoZ/uEY4HOPoL87piBdS1MpR8Qoa+1UEQqHuOjFw9Gw9FTVvQfQBG6IPSg1FBi&#10;xxCoI/N0Oq5wS4qwIbTncGmPHjyTdHm7SJNkzpkk1/z2Zra4m4eEIhuxRnIWnX+noWPjIecIO6M+&#10;0wwEaLF/dD70SJ0qFeobZ2XXUsf3omXxbDoLJUciOwXT6YwZioe2UdumbYOBVbFukdHTnKfbRfx2&#10;c6LjrsOIPeU9CzNqcdTUD8UQhJ+dVS5AHUipoAnNKv0qqqEG/MlZTxOac/djJ1Bz1r43pPZdnKbj&#10;SAcjnd8mZOC1p7j2CCMJKufSI2dHY+2PH2FnsalqyhUHnQyME1A2F85HXqfO0hzS6cWgX9sh6vfP&#10;Xv0CAAD//wMAUEsDBBQABgAIAAAAIQDpb70R4QAAAAgBAAAPAAAAZHJzL2Rvd25yZXYueG1sTI9B&#10;S8NAFITvgv9heYKXYjfakqYxL0ULHkSCWHuot23yTEJ334bspkn/vetJj8MMM99km8locabetZYR&#10;7ucRCOLSVi3XCPvPl7sEhPOKK6UtE8KFHGzy66tMpZUd+YPOO1+LUMIuVQiN910qpSsbMsrNbUcc&#10;vG/bG+WD7GtZ9WoM5UbLhyiKpVEth4VGdbRtqDztBoOweH/W49dleHudbfUwK06F7Q4F4u3N9PQI&#10;wtPk/8Lwix/QIQ9MRztw5YRGWIccwmq5XIAI9jpKYhBHhCReJSDzTP4/kP8AAAD//wMAUEsBAi0A&#10;FAAGAAgAAAAhALaDOJL+AAAA4QEAABMAAAAAAAAAAAAAAAAAAAAAAFtDb250ZW50X1R5cGVzXS54&#10;bWxQSwECLQAUAAYACAAAACEAOP0h/9YAAACUAQAACwAAAAAAAAAAAAAAAAAvAQAAX3JlbHMvLnJl&#10;bHNQSwECLQAUAAYACAAAACEARcLILyMCAAAhBAAADgAAAAAAAAAAAAAAAAAuAgAAZHJzL2Uyb0Rv&#10;Yy54bWxQSwECLQAUAAYACAAAACEA6W+9EeEAAAAIAQAADwAAAAAAAAAAAAAAAAB9BAAAZHJzL2Rv&#10;d25yZXYueG1sUEsFBgAAAAAEAAQA8wAAAIsFAAAAAA==&#10;" o:allowincell="f" fillcolor="#4f81bd" stroked="f">
                <v:textbox>
                  <w:txbxContent>
                    <w:p w:rsidR="00605A36" w:rsidRPr="001F74AE" w:rsidRDefault="00605A36" w:rsidP="00605A36">
                      <w:pPr>
                        <w:jc w:val="center"/>
                        <w:rPr>
                          <w:rFonts w:eastAsiaTheme="majorEastAsia" w:cs="Arial"/>
                          <w:iCs/>
                          <w:color w:val="FFFFFF" w:themeColor="background1"/>
                        </w:rPr>
                      </w:pPr>
                      <w:r>
                        <w:rPr>
                          <w:rFonts w:eastAsiaTheme="majorEastAsia" w:cs="Arial"/>
                          <w:iCs/>
                          <w:color w:val="FFFFFF" w:themeColor="background1"/>
                        </w:rPr>
                        <w:t>The Designated Malpractice/Maladministration Officer will inform the 1st4sport Qualifications Compliance and Risk Team and will then evaluate the evidence and investigate as required.</w:t>
                      </w:r>
                    </w:p>
                  </w:txbxContent>
                </v:textbox>
                <w10:wrap type="square" anchorx="margin" anchory="margin"/>
              </v:roundrect>
            </w:pict>
          </mc:Fallback>
        </mc:AlternateContent>
      </w:r>
    </w:p>
    <w:p w:rsidR="008713D4" w:rsidRDefault="00DF6C9D" w:rsidP="00110202">
      <w:pPr>
        <w:spacing w:after="0"/>
        <w:rPr>
          <w:b/>
        </w:rPr>
      </w:pPr>
      <w:r>
        <w:rPr>
          <w:b/>
        </w:rPr>
        <w:t xml:space="preserve">Malpractice/Maladministration </w:t>
      </w:r>
      <w:r w:rsidR="008713D4" w:rsidRPr="008713D4">
        <w:rPr>
          <w:b/>
        </w:rPr>
        <w:t>Allegations Reporting Procedure</w:t>
      </w:r>
    </w:p>
    <w:p w:rsidR="00680F59" w:rsidRDefault="00680F59" w:rsidP="00110202">
      <w:pPr>
        <w:spacing w:after="0"/>
        <w:rPr>
          <w:b/>
        </w:rPr>
      </w:pPr>
    </w:p>
    <w:p w:rsidR="00691DD7" w:rsidRDefault="00FB76D5" w:rsidP="00DF6C9D">
      <w:pPr>
        <w:spacing w:after="0"/>
        <w:jc w:val="both"/>
      </w:pPr>
      <w:r>
        <w:rPr>
          <w:noProof/>
          <w:lang w:eastAsia="en-GB"/>
        </w:rPr>
        <mc:AlternateContent>
          <mc:Choice Requires="wps">
            <w:drawing>
              <wp:anchor distT="91440" distB="91440" distL="137160" distR="137160" simplePos="0" relativeHeight="251672576" behindDoc="0" locked="0" layoutInCell="0" allowOverlap="1" wp14:anchorId="563A192A" wp14:editId="0DE43CA6">
                <wp:simplePos x="0" y="0"/>
                <wp:positionH relativeFrom="margin">
                  <wp:posOffset>2495550</wp:posOffset>
                </wp:positionH>
                <wp:positionV relativeFrom="margin">
                  <wp:posOffset>3453130</wp:posOffset>
                </wp:positionV>
                <wp:extent cx="784225" cy="5763895"/>
                <wp:effectExtent l="5715" t="0" r="2540" b="2540"/>
                <wp:wrapSquare wrapText="bothSides"/>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84225" cy="5763895"/>
                        </a:xfrm>
                        <a:prstGeom prst="roundRect">
                          <a:avLst>
                            <a:gd name="adj" fmla="val 13032"/>
                          </a:avLst>
                        </a:prstGeom>
                        <a:solidFill>
                          <a:srgbClr val="4F81BD"/>
                        </a:solidFill>
                        <a:extLst/>
                      </wps:spPr>
                      <wps:txbx>
                        <w:txbxContent>
                          <w:p w:rsidR="00FB76D5" w:rsidRPr="001F74AE" w:rsidRDefault="00FB76D5" w:rsidP="00FB76D5">
                            <w:pPr>
                              <w:jc w:val="center"/>
                              <w:rPr>
                                <w:rFonts w:eastAsiaTheme="majorEastAsia" w:cs="Arial"/>
                                <w:iCs/>
                                <w:color w:val="FFFFFF" w:themeColor="background1"/>
                              </w:rPr>
                            </w:pPr>
                            <w:r>
                              <w:rPr>
                                <w:rFonts w:eastAsiaTheme="majorEastAsia" w:cs="Arial"/>
                                <w:iCs/>
                                <w:color w:val="FFFFFF" w:themeColor="background1"/>
                              </w:rPr>
                              <w:t>The Designated Malpractice/Maladministration Officer will communicate the outcomes to all relevant stakeholders including the 1st4sport Qualifications Compliance and Risk Team.</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63A192A" id="_x0000_s1028" style="position:absolute;left:0;text-align:left;margin-left:196.5pt;margin-top:271.9pt;width:61.75pt;height:453.85pt;rotation:90;z-index:25167257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PJIQIAABoEAAAOAAAAZHJzL2Uyb0RvYy54bWysU9uO0zAQfUfiHyy/0yS9bLtR09XSqghp&#10;gRULH+DaThNIPGbsNilfz9jNli68IfxgeTzjM2fOjJd3fduwo0ZXgyl4Nko500aCqs2+4F+/bN8s&#10;OHNeGCUaMLrgJ+343er1q2Vncz2GChqlkRGIcXlnC155b/MkcbLSrXAjsNqQswRshScT94lC0RF6&#10;2yTjNL1JOkBlEaR2jm43ZydfRfyy1NJ/KkunPWsKTtx83DHuu7Anq6XI9yhsVcuBhvgHFq2oDSW9&#10;QG2EF+yA9V9QbS0RHJR+JKFNoCxrqWMNVE2W/lHNUyWsjrWQOM5eZHL/D1Z+PD4iq1XBJ5wZ0VKL&#10;7g8eYmY2DvJ01uUU9WQfMRTo7API744ZWFfC7PU9InSVFopIZSE+efEgGI6esl33ARShC0KPSvUl&#10;tgyBOjKbpmHFW1KE9bE9p0t7dO+ZpMv5YjoezziT5JrNbyaL21lMKPKAFchZdP6dhpaFQ8ERDkZ9&#10;phmI0OL44HzskRoqFeobZ2XbUMePomHZJJ3EkhORD8F0esaMxUNTq23dNNHA/W7dIKOnBZ9uF9nb&#10;zUDHXYcRe8r7LEzQ4qyp73f9IO8O1IkkimLQkNJ3IvIV4E/OOhrNgrsfB4Gas+a9IZlvs+k0zHI0&#10;prP5mAy89uyuPcJIgiq49MjZ2Vj78w84WKz3FeXKokAGQuvL+kL2zGtoKQ0gnV5M+LUdo35/6dUv&#10;AAAA//8DAFBLAwQUAAYACAAAACEAfttHs+EAAAAJAQAADwAAAGRycy9kb3ducmV2LnhtbEyPQUvD&#10;QBCF74L/YRnBS7G7WluamE3RggeRIFYPetsmYxK6Oxuymyb9905PehlmeI8338s2k7PiiH1oPWm4&#10;nSsQSKWvWqo1fH4836xBhGioMtYTajhhgE1+eZGZtPIjveNxF2vBIRRSo6GJsUulDGWDzoS575BY&#10;+/G9M5HPvpZVb0YOd1beKbWSzrTEHxrT4bbB8rAbnIbF25Mdv0/D68tsa4dZcSh891VofX01PT6A&#10;iDjFPzOc8Rkdcmba+4GqIKyGhH08F0teWE7UegVizz61TO5B5pn83yD/BQAA//8DAFBLAQItABQA&#10;BgAIAAAAIQC2gziS/gAAAOEBAAATAAAAAAAAAAAAAAAAAAAAAABbQ29udGVudF9UeXBlc10ueG1s&#10;UEsBAi0AFAAGAAgAAAAhADj9If/WAAAAlAEAAAsAAAAAAAAAAAAAAAAALwEAAF9yZWxzLy5yZWxz&#10;UEsBAi0AFAAGAAgAAAAhANgAg8khAgAAGgQAAA4AAAAAAAAAAAAAAAAALgIAAGRycy9lMm9Eb2Mu&#10;eG1sUEsBAi0AFAAGAAgAAAAhAH7bR7PhAAAACQEAAA8AAAAAAAAAAAAAAAAAewQAAGRycy9kb3du&#10;cmV2LnhtbFBLBQYAAAAABAAEAPMAAACJBQAAAAA=&#10;" o:allowincell="f" fillcolor="#4f81bd" stroked="f">
                <v:textbox>
                  <w:txbxContent>
                    <w:p w:rsidR="00FB76D5" w:rsidRPr="001F74AE" w:rsidRDefault="00FB76D5" w:rsidP="00FB76D5">
                      <w:pPr>
                        <w:jc w:val="center"/>
                        <w:rPr>
                          <w:rFonts w:eastAsiaTheme="majorEastAsia" w:cs="Arial"/>
                          <w:iCs/>
                          <w:color w:val="FFFFFF" w:themeColor="background1"/>
                        </w:rPr>
                      </w:pPr>
                      <w:r>
                        <w:rPr>
                          <w:rFonts w:eastAsiaTheme="majorEastAsia" w:cs="Arial"/>
                          <w:iCs/>
                          <w:color w:val="FFFFFF" w:themeColor="background1"/>
                        </w:rPr>
                        <w:t xml:space="preserve">The Designated Malpractice/Maladministration Officer will </w:t>
                      </w:r>
                      <w:r>
                        <w:rPr>
                          <w:rFonts w:eastAsiaTheme="majorEastAsia" w:cs="Arial"/>
                          <w:iCs/>
                          <w:color w:val="FFFFFF" w:themeColor="background1"/>
                        </w:rPr>
                        <w:t>communicate the outcomes to all relevant stakeholders including the 1st4sport Qualifications Compliance and Risk Team</w:t>
                      </w:r>
                      <w:r>
                        <w:rPr>
                          <w:rFonts w:eastAsiaTheme="majorEastAsia" w:cs="Arial"/>
                          <w:iCs/>
                          <w:color w:val="FFFFFF" w:themeColor="background1"/>
                        </w:rPr>
                        <w:t>.</w:t>
                      </w:r>
                    </w:p>
                  </w:txbxContent>
                </v:textbox>
                <w10:wrap type="square" anchorx="margin" anchory="margin"/>
              </v:roundrect>
            </w:pict>
          </mc:Fallback>
        </mc:AlternateContent>
      </w:r>
      <w:r w:rsidR="00924483">
        <w:rPr>
          <w:noProof/>
          <w:lang w:eastAsia="en-GB"/>
        </w:rPr>
        <mc:AlternateContent>
          <mc:Choice Requires="wps">
            <w:drawing>
              <wp:anchor distT="45720" distB="45720" distL="114300" distR="114300" simplePos="0" relativeHeight="251665408" behindDoc="0" locked="0" layoutInCell="1" allowOverlap="1">
                <wp:simplePos x="0" y="0"/>
                <wp:positionH relativeFrom="column">
                  <wp:posOffset>3009900</wp:posOffset>
                </wp:positionH>
                <wp:positionV relativeFrom="paragraph">
                  <wp:posOffset>1644015</wp:posOffset>
                </wp:positionV>
                <wp:extent cx="3590925" cy="4762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476250"/>
                        </a:xfrm>
                        <a:prstGeom prst="rect">
                          <a:avLst/>
                        </a:prstGeom>
                        <a:solidFill>
                          <a:srgbClr val="FFFFFF"/>
                        </a:solidFill>
                        <a:ln w="9525">
                          <a:noFill/>
                          <a:miter lim="800000"/>
                          <a:headEnd/>
                          <a:tailEnd/>
                        </a:ln>
                      </wps:spPr>
                      <wps:txbx>
                        <w:txbxContent>
                          <w:p w:rsidR="00F20A5C" w:rsidRPr="00F20A5C" w:rsidRDefault="00F20A5C">
                            <w:pPr>
                              <w:rPr>
                                <w:sz w:val="20"/>
                              </w:rPr>
                            </w:pPr>
                            <w:r w:rsidRPr="00F20A5C">
                              <w:rPr>
                                <w:sz w:val="20"/>
                              </w:rPr>
                              <w:t xml:space="preserve">The </w:t>
                            </w:r>
                            <w:r w:rsidR="00924483">
                              <w:rPr>
                                <w:sz w:val="20"/>
                              </w:rPr>
                              <w:t>designated malpractice/maladministration</w:t>
                            </w:r>
                            <w:r w:rsidRPr="00F20A5C">
                              <w:rPr>
                                <w:sz w:val="20"/>
                              </w:rPr>
                              <w:t xml:space="preserve"> officer should acknowledge receipt of the allegation within 5 working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9" type="#_x0000_t202" style="position:absolute;left:0;text-align:left;margin-left:237pt;margin-top:129.45pt;width:282.75pt;height:3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8YIwIAACQEAAAOAAAAZHJzL2Uyb0RvYy54bWysU21v2yAQ/j5p/wHxfbHjJU1jxam6dJkm&#10;dS9Sux+AMY7RgGNAYme/fgdO06j7VpUPiOPuHp577ljdDFqRg3BegqnodJJTIgyHRppdRX89bj9c&#10;U+IDMw1TYERFj8LTm/X7d6velqKADlQjHEEQ48veVrQLwZZZ5nknNPMTsMKgswWnWUDT7bLGsR7R&#10;tcqKPL/KenCNdcCF93h7NzrpOuG3reDhR9t6EYiqKHILaXdpr+OerVes3DlmO8lPNNgrWGgmDT56&#10;hrpjgZG9k/9BackdeGjDhIPOoG0lF6kGrGaav6jmoWNWpFpQHG/PMvm3g+XfDz8dkU1Fi+mCEsM0&#10;NulRDIF8goEUUZ/e+hLDHiwGhgGvsc+pVm/vgf/2xMCmY2Ynbp2DvhOsQX7TmJldpI44PoLU/Tdo&#10;8Bm2D5CAhtbpKB7KQRAd+3Q89yZS4Xj5cb7Ml8WcEo6+2eKqmKfmZax8yrbOhy8CNImHijrsfUJn&#10;h3sfIhtWPoXExzwo2WylUslwu3qjHDkwnJNtWqmAF2HKkL6iyznyiFkGYn4aIS0DzrGSuqLXeVzj&#10;ZEU1PpsmhQQm1XhGJsqc5ImKjNqEoR5SJ5J2UboamiPq5WAcW/xmeOjA/aWkx5GtqP+zZ05Qor4a&#10;1Hw5nc3ijCdjNl8UaLhLT33pYYYjVEUDJeNxE9K/GAu7xd60Msn2zOREGUcxqXn6NnHWL+0U9fy5&#10;1/8AAAD//wMAUEsDBBQABgAIAAAAIQDdYi1c4AAAAAwBAAAPAAAAZHJzL2Rvd25yZXYueG1sTI/B&#10;boMwEETvlfoP1kbqpWpMA4RAWaK2Uqtek+YDFtgACrYRdgL5+zqn5jia0cybfDurXlx4tJ3RCK/L&#10;AATrytSdbhAOv18vGxDWka6pN5oRrmxhWzw+5JTVZtI7vuxdI3yJthkhtM4NmZS2almRXZqBtfeO&#10;ZlTkvBwbWY80+XLVy1UQrKWiTvuFlgb+bLk67c8K4fgzPcfpVH67Q7KL1h/UJaW5Ij4t5vc3EI5n&#10;9x+GG75Hh8Izleasayt6hCiJ/BeHsIo3KYhbIgjTGESJEIZhCrLI5f2J4g8AAP//AwBQSwECLQAU&#10;AAYACAAAACEAtoM4kv4AAADhAQAAEwAAAAAAAAAAAAAAAAAAAAAAW0NvbnRlbnRfVHlwZXNdLnht&#10;bFBLAQItABQABgAIAAAAIQA4/SH/1gAAAJQBAAALAAAAAAAAAAAAAAAAAC8BAABfcmVscy8ucmVs&#10;c1BLAQItABQABgAIAAAAIQClXk8YIwIAACQEAAAOAAAAAAAAAAAAAAAAAC4CAABkcnMvZTJvRG9j&#10;LnhtbFBLAQItABQABgAIAAAAIQDdYi1c4AAAAAwBAAAPAAAAAAAAAAAAAAAAAH0EAABkcnMvZG93&#10;bnJldi54bWxQSwUGAAAAAAQABADzAAAAigUAAAAA&#10;" stroked="f">
                <v:textbox>
                  <w:txbxContent>
                    <w:p w:rsidR="00F20A5C" w:rsidRPr="00F20A5C" w:rsidRDefault="00F20A5C">
                      <w:pPr>
                        <w:rPr>
                          <w:sz w:val="20"/>
                        </w:rPr>
                      </w:pPr>
                      <w:r w:rsidRPr="00F20A5C">
                        <w:rPr>
                          <w:sz w:val="20"/>
                        </w:rPr>
                        <w:t xml:space="preserve">The </w:t>
                      </w:r>
                      <w:r w:rsidR="00924483">
                        <w:rPr>
                          <w:sz w:val="20"/>
                        </w:rPr>
                        <w:t>designated malpractice/maladministration</w:t>
                      </w:r>
                      <w:r w:rsidRPr="00F20A5C">
                        <w:rPr>
                          <w:sz w:val="20"/>
                        </w:rPr>
                        <w:t xml:space="preserve"> officer should acknowledge receipt of the allegation within 5 working days</w:t>
                      </w:r>
                    </w:p>
                  </w:txbxContent>
                </v:textbox>
                <w10:wrap type="square"/>
              </v:shape>
            </w:pict>
          </mc:Fallback>
        </mc:AlternateContent>
      </w:r>
      <w:r w:rsidR="00924483">
        <w:rPr>
          <w:noProof/>
          <w:lang w:eastAsia="en-GB"/>
        </w:rPr>
        <mc:AlternateContent>
          <mc:Choice Requires="wps">
            <w:drawing>
              <wp:anchor distT="0" distB="0" distL="114300" distR="114300" simplePos="0" relativeHeight="251666432" behindDoc="0" locked="0" layoutInCell="1" allowOverlap="1">
                <wp:simplePos x="0" y="0"/>
                <wp:positionH relativeFrom="column">
                  <wp:posOffset>2886075</wp:posOffset>
                </wp:positionH>
                <wp:positionV relativeFrom="paragraph">
                  <wp:posOffset>1641476</wp:posOffset>
                </wp:positionV>
                <wp:extent cx="0" cy="428625"/>
                <wp:effectExtent l="76200" t="0" r="57150" b="47625"/>
                <wp:wrapNone/>
                <wp:docPr id="15" name="Straight Arrow Connector 15"/>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type w14:anchorId="72BACD5A" id="_x0000_t32" coordsize="21600,21600" o:spt="32" o:oned="t" path="m,l21600,21600e" filled="f">
                <v:path arrowok="t" fillok="f" o:connecttype="none"/>
                <o:lock v:ext="edit" shapetype="t"/>
              </v:shapetype>
              <v:shape id="Straight Arrow Connector 15" o:spid="_x0000_s1026" type="#_x0000_t32" style="position:absolute;margin-left:227.25pt;margin-top:129.25pt;width:0;height:33.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ez0wEAAAEEAAAOAAAAZHJzL2Uyb0RvYy54bWysU9uO0zAQfUfiHyy/07QVrFZV0xXqAi8I&#10;Knb5AK8zbiz5pvHQNH/P2GmzCBASiJdJbM85c+Z4vL07eydOgNnG0MrVYikFBB07G46t/Pr4/tWt&#10;FJlU6JSLAVo5QpZ3u5cvtkPawDr20XWAgklC3gyplT1R2jRN1j14lRcxQeBDE9Er4iUemw7VwOze&#10;Nevl8qYZInYJo4acefd+OpS7ym8MaPpsTAYSrpWsjWrEGp9KbHZbtTmiSr3VFxnqH1R4ZQMXnanu&#10;FSnxDe0vVN5qjDkaWujom2iM1VB74G5Wy5+6eehVgtoLm5PTbFP+f7T60+mAwnZ8d2+kCMrzHT0Q&#10;KnvsSbxFjIPYxxDYx4iCU9ivIeUNw/bhgJdVTgcszZ8N+vLltsS5ejzOHsOZhJ42Ne++Xt/erCtd&#10;84xLmOkDRC/KTyvzRccsYFUtVqePmbgyA6+AUtSFEklZ9y50gsbEnRBaFY4OimxOLylNkT8Jrn80&#10;OpjgX8CwESxxKlNHEPYOxUnx8CitIdBqZuLsAjPWuRm4rPr+CLzkFyjU8fwb8IyolWOgGextiPi7&#10;6nS+SjZT/tWBqe9iwVPsxnqV1Rqes+rV5U2UQf5xXeHPL3f3HQAA//8DAFBLAwQUAAYACAAAACEA&#10;//CMi90AAAALAQAADwAAAGRycy9kb3ducmV2LnhtbEyPy07DMBBF90j8gzVI7KhDHlUVMqnKS+oS&#10;Wjbs3HhIIuJxZLut+XuMWMBuHkd3zjTraCZxIudHywi3iwwEcWf1yD3C2/75ZgXCB8VaTZYJ4Ys8&#10;rNvLi0bV2p75lU670IsUwr5WCEMIcy2l7wYyyi/sTJx2H9YZFVLreqmdOqdwM8k8y5bSqJHThUHN&#10;9DBQ97k7GoT7l63ZPL67SEXxVPq4tzl3W8Trq7i5AxEohj8YfvSTOrTJ6WCPrL2YEMqqrBKKkFer&#10;VCTid3JAKPJlBrJt5P8f2m8AAAD//wMAUEsBAi0AFAAGAAgAAAAhALaDOJL+AAAA4QEAABMAAAAA&#10;AAAAAAAAAAAAAAAAAFtDb250ZW50X1R5cGVzXS54bWxQSwECLQAUAAYACAAAACEAOP0h/9YAAACU&#10;AQAACwAAAAAAAAAAAAAAAAAvAQAAX3JlbHMvLnJlbHNQSwECLQAUAAYACAAAACEAxSUns9MBAAAB&#10;BAAADgAAAAAAAAAAAAAAAAAuAgAAZHJzL2Uyb0RvYy54bWxQSwECLQAUAAYACAAAACEA//CMi90A&#10;AAALAQAADwAAAAAAAAAAAAAAAAAtBAAAZHJzL2Rvd25yZXYueG1sUEsFBgAAAAAEAAQA8wAAADcF&#10;AAAAAA==&#10;" strokecolor="#4579b8 [3044]">
                <v:stroke endarrow="block"/>
              </v:shape>
            </w:pict>
          </mc:Fallback>
        </mc:AlternateContent>
      </w:r>
      <w:r w:rsidR="00DF6C9D">
        <w:t>A</w:t>
      </w:r>
      <w:r w:rsidR="00DF6C9D" w:rsidRPr="00DF6C9D">
        <w:t xml:space="preserve">ny allegations of </w:t>
      </w:r>
      <w:r w:rsidR="00DF6C9D">
        <w:t>m</w:t>
      </w:r>
      <w:r w:rsidR="00DF6C9D" w:rsidRPr="00DF6C9D">
        <w:t xml:space="preserve">alpractice or </w:t>
      </w:r>
      <w:r w:rsidR="00DF6C9D">
        <w:t>m</w:t>
      </w:r>
      <w:r w:rsidR="00DF6C9D" w:rsidRPr="00DF6C9D">
        <w:t>aladministration</w:t>
      </w:r>
      <w:r w:rsidR="00DF6C9D">
        <w:t xml:space="preserve"> should be reported and investigated by following the procedure outlined below.</w:t>
      </w:r>
      <w:r w:rsidR="00DF6C9D" w:rsidRPr="00DF6C9D">
        <w:t xml:space="preserve"> All confirmed allegations of Malpractice or Maladministration </w:t>
      </w:r>
      <w:r w:rsidR="00DF6C9D">
        <w:t>must</w:t>
      </w:r>
      <w:r w:rsidR="00DF6C9D" w:rsidRPr="00DF6C9D">
        <w:t xml:space="preserve"> be reported to 1st4sport Qualifications, by emailing imanagem</w:t>
      </w:r>
      <w:r w:rsidR="00DF6C9D">
        <w:t>ent@1st4sportqualifications.com</w:t>
      </w:r>
    </w:p>
    <w:p w:rsidR="00691DD7" w:rsidRDefault="00EC6699" w:rsidP="00110202">
      <w:pPr>
        <w:spacing w:after="0"/>
      </w:pPr>
      <w:r w:rsidRPr="00EC6699">
        <w:rPr>
          <w:noProof/>
          <w:lang w:eastAsia="en-GB"/>
        </w:rPr>
        <mc:AlternateContent>
          <mc:Choice Requires="wps">
            <w:drawing>
              <wp:anchor distT="91440" distB="91440" distL="137160" distR="137160" simplePos="0" relativeHeight="251678720" behindDoc="0" locked="0" layoutInCell="0" allowOverlap="1" wp14:anchorId="725F5691" wp14:editId="4E88EE03">
                <wp:simplePos x="0" y="0"/>
                <wp:positionH relativeFrom="margin">
                  <wp:posOffset>2495550</wp:posOffset>
                </wp:positionH>
                <wp:positionV relativeFrom="margin">
                  <wp:posOffset>4645660</wp:posOffset>
                </wp:positionV>
                <wp:extent cx="784225" cy="5763895"/>
                <wp:effectExtent l="5715" t="0" r="2540" b="2540"/>
                <wp:wrapSquare wrapText="bothSides"/>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84225" cy="5763895"/>
                        </a:xfrm>
                        <a:prstGeom prst="roundRect">
                          <a:avLst>
                            <a:gd name="adj" fmla="val 13032"/>
                          </a:avLst>
                        </a:prstGeom>
                        <a:solidFill>
                          <a:srgbClr val="4F81BD"/>
                        </a:solidFill>
                        <a:extLst/>
                      </wps:spPr>
                      <wps:txbx>
                        <w:txbxContent>
                          <w:p w:rsidR="00EC6699" w:rsidRPr="001F74AE" w:rsidRDefault="00EC6699" w:rsidP="00EC6699">
                            <w:pPr>
                              <w:jc w:val="center"/>
                              <w:rPr>
                                <w:rFonts w:eastAsiaTheme="majorEastAsia" w:cs="Arial"/>
                                <w:iCs/>
                                <w:color w:val="FFFFFF" w:themeColor="background1"/>
                              </w:rPr>
                            </w:pPr>
                            <w:r>
                              <w:rPr>
                                <w:rFonts w:eastAsiaTheme="majorEastAsia" w:cs="Arial"/>
                                <w:iCs/>
                                <w:color w:val="FFFFFF" w:themeColor="background1"/>
                              </w:rPr>
                              <w:t xml:space="preserve">Where malpractice/maladministration is confirmed the 1st4sport Qualifications Compliance and Risk Team may need to investigate further, following the 1st4sport Qualifications Position Statement – Malpractice and Maladministration.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25F5691" id="_x0000_s1030" style="position:absolute;margin-left:196.5pt;margin-top:365.8pt;width:61.75pt;height:453.85pt;rotation:90;z-index:25167872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YFJAIAACEEAAAOAAAAZHJzL2Uyb0RvYy54bWysU8GO0zAQvSPxD5bvNEmbbrtR09XSqghp&#10;gRULH+DYThNIPGbsNi1fz9jtli7cED5YHs/4zbw348Xdoe/YXqNrwZQ8G6WcaSNBtWZb8q9fNm/m&#10;nDkvjBIdGF3yo3b8bvn61WKwhR5DA53SyAjEuGKwJW+8t0WSONnoXrgRWG3IWQP2wpOJ20ShGAi9&#10;75Jxmt4kA6CyCFI7R7frk5MvI35da+k/1bXTnnUlp9p83DHuVdiT5UIUWxS2aeW5DPEPVfSiNZT0&#10;ArUWXrAdtn9B9a1EcFD7kYQ+gbpupY4ciE2W/sHmqRFWRy4kjrMXmdz/g5Uf94/IWlXyGWdG9NSi&#10;+52HmJmNgzyDdQVFPdlHDASdfQD53TEDq0aYrb5HhKHRQlFRWYhPXjwIhqOnrBo+gCJ0QehRqUON&#10;PUOgjkzzNKx4S4qwQ2zP8dIeffBM0uVsno/HU84kuaazm8n8dhoTiiJgheIsOv9OQ8/CoeQIO6M+&#10;0wxEaLF/cD72SJ2ZCvWNs7rvqON70bFskk4i5UQU52A6PWNG8tC1atN2XTRwW606ZPS05Plmnr1d&#10;n8tx12FUPeV9FiZocdLUH6pDFD6SCDpVoI6kVNSEZpV+FXFoAH9yNtCEltz92AnUnHXvDal9m+V5&#10;GOlo5NPZmAy89lTXHmEkQZVceuTsZKz86SPsLLbbhnJlUScDYQLq9lLzqa5zZ2kO6fRi0K/tGPX7&#10;Zy9/AQAA//8DAFBLAwQUAAYACAAAACEAPF00JeIAAAAKAQAADwAAAGRycy9kb3ducmV2LnhtbEyP&#10;zU7DMBCE70i8g7VIXCrqNEX9CXEqqMQBoQjR9gA3N1mSqPY6ip0mfXu2JzjuzGj2m3QzWiPO2PnG&#10;kYLZNAKBVLiyoUrBYf/6sALhg6ZSG0eo4IIeNtntTaqT0g30ieddqASXkE+0gjqENpHSFzVa7aeu&#10;RWLvx3VWBz67SpadHrjcGhlH0UJa3RB/qHWL2xqL0663CuYfL2b4vvTvb5Ot6Sf5KXftV67U/d34&#10;/AQi4Bj+wnDFZ3TImOnoeiq9MArWnGN1Fs+XINhfR6sFiCNL8eMyBpml8v+E7BcAAP//AwBQSwEC&#10;LQAUAAYACAAAACEAtoM4kv4AAADhAQAAEwAAAAAAAAAAAAAAAAAAAAAAW0NvbnRlbnRfVHlwZXNd&#10;LnhtbFBLAQItABQABgAIAAAAIQA4/SH/1gAAAJQBAAALAAAAAAAAAAAAAAAAAC8BAABfcmVscy8u&#10;cmVsc1BLAQItABQABgAIAAAAIQANasYFJAIAACEEAAAOAAAAAAAAAAAAAAAAAC4CAABkcnMvZTJv&#10;RG9jLnhtbFBLAQItABQABgAIAAAAIQA8XTQl4gAAAAoBAAAPAAAAAAAAAAAAAAAAAH4EAABkcnMv&#10;ZG93bnJldi54bWxQSwUGAAAAAAQABADzAAAAjQUAAAAA&#10;" o:allowincell="f" fillcolor="#4f81bd" stroked="f">
                <v:textbox>
                  <w:txbxContent>
                    <w:p w:rsidR="00EC6699" w:rsidRPr="001F74AE" w:rsidRDefault="00EC6699" w:rsidP="00EC6699">
                      <w:pPr>
                        <w:jc w:val="center"/>
                        <w:rPr>
                          <w:rFonts w:eastAsiaTheme="majorEastAsia" w:cs="Arial"/>
                          <w:iCs/>
                          <w:color w:val="FFFFFF" w:themeColor="background1"/>
                        </w:rPr>
                      </w:pPr>
                      <w:r>
                        <w:rPr>
                          <w:rFonts w:eastAsiaTheme="majorEastAsia" w:cs="Arial"/>
                          <w:iCs/>
                          <w:color w:val="FFFFFF" w:themeColor="background1"/>
                        </w:rPr>
                        <w:t xml:space="preserve">Where malpractice/maladministration is confirmed the 1st4sport Qualifications Compliance and Risk Team may need to investigate further, following the 1st4sport Qualifications Position Statement – Malpractice and Maladministration. </w:t>
                      </w:r>
                    </w:p>
                  </w:txbxContent>
                </v:textbox>
                <w10:wrap type="square" anchorx="margin" anchory="margin"/>
              </v:roundrect>
            </w:pict>
          </mc:Fallback>
        </mc:AlternateContent>
      </w:r>
      <w:r w:rsidR="00FB76D5">
        <w:rPr>
          <w:noProof/>
          <w:lang w:eastAsia="en-GB"/>
        </w:rPr>
        <mc:AlternateContent>
          <mc:Choice Requires="wps">
            <w:drawing>
              <wp:anchor distT="45720" distB="45720" distL="114300" distR="114300" simplePos="0" relativeHeight="251674624" behindDoc="0" locked="0" layoutInCell="1" allowOverlap="1" wp14:anchorId="67043A83" wp14:editId="284597EC">
                <wp:simplePos x="0" y="0"/>
                <wp:positionH relativeFrom="column">
                  <wp:posOffset>3019425</wp:posOffset>
                </wp:positionH>
                <wp:positionV relativeFrom="paragraph">
                  <wp:posOffset>2123440</wp:posOffset>
                </wp:positionV>
                <wp:extent cx="3590925" cy="421005"/>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421005"/>
                        </a:xfrm>
                        <a:prstGeom prst="rect">
                          <a:avLst/>
                        </a:prstGeom>
                        <a:solidFill>
                          <a:srgbClr val="FFFFFF"/>
                        </a:solidFill>
                        <a:ln w="9525">
                          <a:noFill/>
                          <a:miter lim="800000"/>
                          <a:headEnd/>
                          <a:tailEnd/>
                        </a:ln>
                      </wps:spPr>
                      <wps:txbx>
                        <w:txbxContent>
                          <w:p w:rsidR="00FB76D5" w:rsidRPr="00F20A5C" w:rsidRDefault="00FB76D5" w:rsidP="00FB76D5">
                            <w:pPr>
                              <w:rPr>
                                <w:sz w:val="20"/>
                              </w:rPr>
                            </w:pPr>
                            <w:r w:rsidRPr="00F20A5C">
                              <w:rPr>
                                <w:sz w:val="20"/>
                              </w:rPr>
                              <w:t xml:space="preserve">The </w:t>
                            </w:r>
                            <w:r>
                              <w:rPr>
                                <w:sz w:val="20"/>
                              </w:rPr>
                              <w:t>designated malpractice/maladministration</w:t>
                            </w:r>
                            <w:r w:rsidRPr="00F20A5C">
                              <w:rPr>
                                <w:sz w:val="20"/>
                              </w:rPr>
                              <w:t xml:space="preserve"> officer should </w:t>
                            </w:r>
                            <w:r w:rsidR="00EC6699">
                              <w:rPr>
                                <w:sz w:val="20"/>
                              </w:rPr>
                              <w:t>provide updates every 25</w:t>
                            </w:r>
                            <w:r w:rsidRPr="00F20A5C">
                              <w:rPr>
                                <w:sz w:val="20"/>
                              </w:rPr>
                              <w:t xml:space="preserve"> working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7043A83" id="_x0000_s1031" type="#_x0000_t202" style="position:absolute;margin-left:237.75pt;margin-top:167.2pt;width:282.75pt;height:33.1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ugIQIAACIEAAAOAAAAZHJzL2Uyb0RvYy54bWysU9uO0zAQfUfiHyy/06SlhW3UdLV0KUJa&#10;LtIuHzBxnMbC9gTbbbJ8PWMn2y3whvCD5fHMHJ85M95cD0azk3ReoS35fJZzJq3AWtlDyb897F9d&#10;ceYD2Bo0WlnyR+n59fbli03fFXKBLepaOkYg1hd9V/I2hK7IMi9aacDPsJOWnA06A4FMd8hqBz2h&#10;G50t8vxN1qOrO4dCek+3t6OTbxN+00gRvjSNl4HpkhO3kHaX9iru2XYDxcFB1yox0YB/YGFAWXr0&#10;DHULAdjRqb+gjBIOPTZhJtBk2DRKyFQDVTPP/6jmvoVOplpIHN+dZfL/D1Z8Pn11TNUlX3JmwVCL&#10;HuQQ2Dsc2CKq03e+oKD7jsLCQNfU5VSp7+5QfPfM4q4Fe5A3zmHfSqiJ3TxmZhepI46PIFX/CWt6&#10;Bo4BE9DQOBOlIzEYoVOXHs+diVQEXb5erfP1YsWZIN9yMc/zVXoCiqfszvnwQaJh8VByR51P6HC6&#10;8yGygeIpJD7mUat6r7ROhjtUO+3YCWhK9mlN6L+Facv6kq9XxCNmWYz5aYCMCjTFWpmSX+VxxXQo&#10;ohrvbZ3OAZQez8RE20meqMioTRiqYeoDxUfpKqwfSS+H49DSJ6NDi+4nZz0NbMn9jyM4yZn+aEnz&#10;9Xy5jBOejOXq7YIMd+mpLj1gBUGVPHA2Hnch/YqxsBvqTaOSbM9MJso0iEnN6dPESb+0U9Tz197+&#10;AgAA//8DAFBLAwQUAAYACAAAACEAXVhGa98AAAAMAQAADwAAAGRycy9kb3ducmV2LnhtbEyPQU7D&#10;MBBF90jcwRokNojapUkDIU4FSCC2LT2AE0+TiHgcxW6T3p7pii5H/+nP+8Vmdr044Rg6TxqWCwUC&#10;qfa2o0bD/ufz8RlEiIas6T2hhjMG2JS3N4XJrZ9oi6ddbASXUMiNhjbGIZcy1C06ExZ+QOLs4Edn&#10;Ip9jI+1oJi53vXxSai2d6Yg/tGbAjxbr393RaTh8Tw/py1R9xX22Tdbvpssqf9b6/m5+ewURcY7/&#10;MFz0WR1Kdqr8kWwQvYYkS1NGNaxWSQLiQqhkyfMqzpTKQJaFvB5R/gEAAP//AwBQSwECLQAUAAYA&#10;CAAAACEAtoM4kv4AAADhAQAAEwAAAAAAAAAAAAAAAAAAAAAAW0NvbnRlbnRfVHlwZXNdLnhtbFBL&#10;AQItABQABgAIAAAAIQA4/SH/1gAAAJQBAAALAAAAAAAAAAAAAAAAAC8BAABfcmVscy8ucmVsc1BL&#10;AQItABQABgAIAAAAIQApsiugIQIAACIEAAAOAAAAAAAAAAAAAAAAAC4CAABkcnMvZTJvRG9jLnht&#10;bFBLAQItABQABgAIAAAAIQBdWEZr3wAAAAwBAAAPAAAAAAAAAAAAAAAAAHsEAABkcnMvZG93bnJl&#10;di54bWxQSwUGAAAAAAQABADzAAAAhwUAAAAA&#10;" stroked="f">
                <v:textbox>
                  <w:txbxContent>
                    <w:p w:rsidR="00FB76D5" w:rsidRPr="00F20A5C" w:rsidRDefault="00FB76D5" w:rsidP="00FB76D5">
                      <w:pPr>
                        <w:rPr>
                          <w:sz w:val="20"/>
                        </w:rPr>
                      </w:pPr>
                      <w:r w:rsidRPr="00F20A5C">
                        <w:rPr>
                          <w:sz w:val="20"/>
                        </w:rPr>
                        <w:t xml:space="preserve">The </w:t>
                      </w:r>
                      <w:r>
                        <w:rPr>
                          <w:sz w:val="20"/>
                        </w:rPr>
                        <w:t>designated malpractice/maladministration</w:t>
                      </w:r>
                      <w:r w:rsidRPr="00F20A5C">
                        <w:rPr>
                          <w:sz w:val="20"/>
                        </w:rPr>
                        <w:t xml:space="preserve"> officer should </w:t>
                      </w:r>
                      <w:r w:rsidR="00EC6699">
                        <w:rPr>
                          <w:sz w:val="20"/>
                        </w:rPr>
                        <w:t>provide updates every 25</w:t>
                      </w:r>
                      <w:r w:rsidRPr="00F20A5C">
                        <w:rPr>
                          <w:sz w:val="20"/>
                        </w:rPr>
                        <w:t xml:space="preserve"> working days</w:t>
                      </w:r>
                    </w:p>
                  </w:txbxContent>
                </v:textbox>
                <w10:wrap type="square"/>
              </v:shape>
            </w:pict>
          </mc:Fallback>
        </mc:AlternateContent>
      </w:r>
      <w:r w:rsidR="00605A36">
        <w:rPr>
          <w:noProof/>
          <w:lang w:eastAsia="en-GB"/>
        </w:rPr>
        <mc:AlternateContent>
          <mc:Choice Requires="wps">
            <w:drawing>
              <wp:anchor distT="0" distB="0" distL="114300" distR="114300" simplePos="0" relativeHeight="251670528" behindDoc="0" locked="0" layoutInCell="1" allowOverlap="1" wp14:anchorId="77FC2C61" wp14:editId="203F6BE4">
                <wp:simplePos x="0" y="0"/>
                <wp:positionH relativeFrom="column">
                  <wp:posOffset>2886075</wp:posOffset>
                </wp:positionH>
                <wp:positionV relativeFrom="paragraph">
                  <wp:posOffset>2117725</wp:posOffset>
                </wp:positionV>
                <wp:extent cx="0" cy="428625"/>
                <wp:effectExtent l="76200" t="0" r="57150" b="47625"/>
                <wp:wrapNone/>
                <wp:docPr id="2" name="Straight Arrow Connector 2"/>
                <wp:cNvGraphicFramePr/>
                <a:graphic xmlns:a="http://schemas.openxmlformats.org/drawingml/2006/main">
                  <a:graphicData uri="http://schemas.microsoft.com/office/word/2010/wordprocessingShape">
                    <wps:wsp>
                      <wps:cNvCnPr/>
                      <wps:spPr>
                        <a:xfrm>
                          <a:off x="0" y="0"/>
                          <a:ext cx="0" cy="4286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V relativeFrom="margin">
                  <wp14:pctHeight>0</wp14:pctHeight>
                </wp14:sizeRelV>
              </wp:anchor>
            </w:drawing>
          </mc:Choice>
          <mc:Fallback xmlns:w15="http://schemas.microsoft.com/office/word/2012/wordml">
            <w:pict>
              <v:shape w14:anchorId="4A63FB53" id="Straight Arrow Connector 2" o:spid="_x0000_s1026" type="#_x0000_t32" style="position:absolute;margin-left:227.25pt;margin-top:166.75pt;width:0;height:33.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Dl6gEAAMUDAAAOAAAAZHJzL2Uyb0RvYy54bWysU8uO2zAMvBfoPwi6N3aMzSJrxFm0SdNL&#10;HwG2/QBGkm0BsiRQapz8fSnZm922t6IXRaTCIWc43jxeBsPOCoN2tuHLRcmZssJJbbuG//h+eLfm&#10;LESwEoyzquFXFfjj9u2bzehrVbneGamQEYgN9egb3sfo66IIolcDhIXzytJj63CASCF2hUQYCX0w&#10;RVWW98XoUHp0QoVA2f30yLcZv22ViN/aNqjITMNptphPzOcpncV2A3WH4Hst5jHgH6YYQFtqeoPa&#10;QwT2E/VfUIMW6IJr40K4oXBtq4XKHIjNsvyDzVMPXmUuJE7wN5nC/4MVX89HZFo2vOLMwkAreooI&#10;uusje4/oRrZz1pKMDlmV1Bp9qKloZ484R8EfMVG/tDikXyLFLlnh601hdYlMTElB2btqfV+tElzx&#10;UucxxE/KDSxdGh7mMW79l1lgOH8OcSp8LkhNrTtoYygPtbFsbPjDihowAeSp1kCk6+CJZbAdZ2A6&#10;MquImBGDM1qm6lQcsDvtDLIzkGHuDuvlh/30px6kmrIPq7KcjRMgfnFySi/L5zxxmmEyv9/w08x7&#10;CP1Uk58mD0bQ5qOVLF497SCiBtsZNUtkbJpNZT/P9NMeJuXT7eTkNS+kSBF5JXeefZ3M+Dqm++uv&#10;b/sLAAD//wMAUEsDBBQABgAIAAAAIQAIvL0i4AAAAAsBAAAPAAAAZHJzL2Rvd25yZXYueG1sTI/B&#10;TsMwEETvSPyDtUhcotYOaSsU4lSAgAtSJQJC9ObGJo5qr6PYbcPfs4gD3GZ3RrNvq/XkHTuaMfYB&#10;JeRzAcxgG3SPnYS318fZNbCYFGrlAhoJXybCuj4/q1SpwwlfzLFJHaMSjKWSYFMaSs5ja41XcR4G&#10;g+R9htGrROPYcT2qE5V7x6+EWHGveqQLVg3m3pp23xy8hI/tFO9w8+D0vhmy53z7ntnsScrLi+n2&#10;BlgyU/oLww8+oUNNTLtwQB2Zk7BYLpYUlVAUBQlK/G52JEQugNcV//9D/Q0AAP//AwBQSwECLQAU&#10;AAYACAAAACEAtoM4kv4AAADhAQAAEwAAAAAAAAAAAAAAAAAAAAAAW0NvbnRlbnRfVHlwZXNdLnht&#10;bFBLAQItABQABgAIAAAAIQA4/SH/1gAAAJQBAAALAAAAAAAAAAAAAAAAAC8BAABfcmVscy8ucmVs&#10;c1BLAQItABQABgAIAAAAIQDusPDl6gEAAMUDAAAOAAAAAAAAAAAAAAAAAC4CAABkcnMvZTJvRG9j&#10;LnhtbFBLAQItABQABgAIAAAAIQAIvL0i4AAAAAsBAAAPAAAAAAAAAAAAAAAAAEQEAABkcnMvZG93&#10;bnJldi54bWxQSwUGAAAAAAQABADzAAAAUQUAAAAA&#10;" strokecolor="#4a7ebb">
                <v:stroke endarrow="block"/>
              </v:shape>
            </w:pict>
          </mc:Fallback>
        </mc:AlternateContent>
      </w:r>
    </w:p>
    <w:p w:rsidR="00691DD7" w:rsidRDefault="00EC6699" w:rsidP="00110202">
      <w:pPr>
        <w:spacing w:after="0"/>
      </w:pPr>
      <w:r>
        <w:rPr>
          <w:noProof/>
          <w:lang w:eastAsia="en-GB"/>
        </w:rPr>
        <mc:AlternateContent>
          <mc:Choice Requires="wps">
            <w:drawing>
              <wp:anchor distT="0" distB="0" distL="114300" distR="114300" simplePos="0" relativeHeight="251676672" behindDoc="0" locked="0" layoutInCell="1" allowOverlap="1" wp14:anchorId="051F1917" wp14:editId="151229AD">
                <wp:simplePos x="0" y="0"/>
                <wp:positionH relativeFrom="column">
                  <wp:posOffset>2886075</wp:posOffset>
                </wp:positionH>
                <wp:positionV relativeFrom="paragraph">
                  <wp:posOffset>2139315</wp:posOffset>
                </wp:positionV>
                <wp:extent cx="0" cy="428625"/>
                <wp:effectExtent l="76200" t="0" r="57150" b="47625"/>
                <wp:wrapNone/>
                <wp:docPr id="5" name="Straight Arrow Connector 5"/>
                <wp:cNvGraphicFramePr/>
                <a:graphic xmlns:a="http://schemas.openxmlformats.org/drawingml/2006/main">
                  <a:graphicData uri="http://schemas.microsoft.com/office/word/2010/wordprocessingShape">
                    <wps:wsp>
                      <wps:cNvCnPr/>
                      <wps:spPr>
                        <a:xfrm>
                          <a:off x="0" y="0"/>
                          <a:ext cx="0" cy="4286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V relativeFrom="margin">
                  <wp14:pctHeight>0</wp14:pctHeight>
                </wp14:sizeRelV>
              </wp:anchor>
            </w:drawing>
          </mc:Choice>
          <mc:Fallback xmlns:w15="http://schemas.microsoft.com/office/word/2012/wordml">
            <w:pict>
              <v:shape w14:anchorId="147C7DEE" id="Straight Arrow Connector 5" o:spid="_x0000_s1026" type="#_x0000_t32" style="position:absolute;margin-left:227.25pt;margin-top:168.45pt;width:0;height:33.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4AW6gEAAMUDAAAOAAAAZHJzL2Uyb0RvYy54bWysU9uO2jAQfa/Uf7D8XhLQsmIRYdVC6Usv&#10;SNt+wGA7iSXfNHYJ/H3HTpbdtm9VX8xcmDNnZk42jxdr2Flh1N41fD6rOVNOeKld1/Af3w/vVpzF&#10;BE6C8U41/Koif9y+fbMZwlotfO+NVMgIxMX1EBrepxTWVRVFryzEmQ/KUbL1aCGRi10lEQZCt6Za&#10;1PV9NXiUAb1QMVJ0Pyb5tuC3rRLpW9tGlZhpOHFL5cXynvJbbTew7hBCr8VEA/6BhQXtqOkNag8J&#10;2E/Uf0FZLdBH36aZ8LbybauFKjPQNPP6j2meegiqzELLieG2pvj/YMXX8xGZlg1fcubA0omeEoLu&#10;+sTeI/qB7bxztEaPbJm3NYS4pqKdO+LkxXDEPPqlRZt/aSh2KRu+3jasLomJMSgoerdY3S8KXPVS&#10;FzCmT8pblo2Gx4nGrf+8LBjOn2OizlT4XJCbOn/QxpRrGseGhj8sqQETQJpqDSQybaApo+s4A9OR&#10;WEXCghi90TJXZ5yI3WlnkJ2BBHN3WM0/7Mc/9SDVGH1Y1vUknAjpi5djeF4/x4naBFNo/oafOe8h&#10;9mNNSY0aTKDNRydZuga6QUINrjMq5wjOuMxNFT1P4+c7jJvP1snLazlIlT3SSimbdJ3F+Non+/XX&#10;t/0FAAD//wMAUEsDBBQABgAIAAAAIQCdmpKE4QAAAAsBAAAPAAAAZHJzL2Rvd25yZXYueG1sTI9N&#10;S8NAEIbvgv9hGcFLaDe1adGYTVFRLwXBVMTettkxG5qdDdltG/+9Ix70Nh8P7zxTrEbXiSMOofWk&#10;YDZNQSDV3rTUKHjbPE2uQYSoyejOEyr4wgCr8vys0LnxJ3rFYxUbwSEUcq3AxtjnUobaotNh6nsk&#10;3n36wenI7dBIM+gTh7tOXqXpUjrdEl+wuscHi/W+OjgFH9sx3NPLY2f2VZ+sZ9v3xCbPSl1ejHe3&#10;ICKO8Q+GH31Wh5Kddv5AJohOQbbIFowqmM+XNyCY+J3suEizDGRZyP8/lN8AAAD//wMAUEsBAi0A&#10;FAAGAAgAAAAhALaDOJL+AAAA4QEAABMAAAAAAAAAAAAAAAAAAAAAAFtDb250ZW50X1R5cGVzXS54&#10;bWxQSwECLQAUAAYACAAAACEAOP0h/9YAAACUAQAACwAAAAAAAAAAAAAAAAAvAQAAX3JlbHMvLnJl&#10;bHNQSwECLQAUAAYACAAAACEArlOAFuoBAADFAwAADgAAAAAAAAAAAAAAAAAuAgAAZHJzL2Uyb0Rv&#10;Yy54bWxQSwECLQAUAAYACAAAACEAnZqShOEAAAALAQAADwAAAAAAAAAAAAAAAABEBAAAZHJzL2Rv&#10;d25yZXYueG1sUEsFBgAAAAAEAAQA8wAAAFIFAAAAAA==&#10;" strokecolor="#4a7ebb">
                <v:stroke endarrow="block"/>
              </v:shape>
            </w:pict>
          </mc:Fallback>
        </mc:AlternateContent>
      </w:r>
    </w:p>
    <w:p w:rsidR="00691DD7" w:rsidRDefault="00691DD7" w:rsidP="00110202">
      <w:pPr>
        <w:spacing w:after="0"/>
      </w:pPr>
    </w:p>
    <w:p w:rsidR="00691DD7" w:rsidRDefault="00691DD7" w:rsidP="00110202">
      <w:pPr>
        <w:spacing w:after="0"/>
      </w:pPr>
    </w:p>
    <w:p w:rsidR="00691DD7" w:rsidRDefault="00691DD7" w:rsidP="00110202">
      <w:pPr>
        <w:spacing w:after="0"/>
      </w:pPr>
    </w:p>
    <w:p w:rsidR="00691DD7" w:rsidRDefault="00691DD7" w:rsidP="00110202">
      <w:pPr>
        <w:spacing w:after="0"/>
      </w:pPr>
    </w:p>
    <w:p w:rsidR="00691DD7" w:rsidRPr="00906854" w:rsidRDefault="00DA07C2" w:rsidP="00110202">
      <w:pPr>
        <w:spacing w:after="0"/>
        <w:rPr>
          <w:b/>
        </w:rPr>
      </w:pPr>
      <w:r w:rsidRPr="00906854">
        <w:rPr>
          <w:b/>
        </w:rPr>
        <w:t>Malpractice/Maladministration Allegation Report Form</w:t>
      </w:r>
    </w:p>
    <w:p w:rsidR="00691DD7" w:rsidRDefault="00691DD7" w:rsidP="00906854">
      <w:pPr>
        <w:spacing w:after="0" w:line="240" w:lineRule="auto"/>
      </w:pPr>
    </w:p>
    <w:p w:rsidR="00906854" w:rsidRDefault="00906854" w:rsidP="00906854">
      <w:pPr>
        <w:spacing w:after="0" w:line="240" w:lineRule="auto"/>
        <w:jc w:val="both"/>
      </w:pPr>
      <w:r>
        <w:t>This form should be used by anyone wishing to report an allegation of malpractice/maladministration.</w:t>
      </w:r>
    </w:p>
    <w:p w:rsidR="00906854" w:rsidRDefault="00906854" w:rsidP="00906854">
      <w:pPr>
        <w:spacing w:after="0" w:line="240" w:lineRule="auto"/>
        <w:jc w:val="both"/>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3"/>
        <w:gridCol w:w="1701"/>
        <w:gridCol w:w="3118"/>
        <w:gridCol w:w="810"/>
        <w:gridCol w:w="1964"/>
      </w:tblGrid>
      <w:tr w:rsidR="00906854" w:rsidTr="00906854">
        <w:tc>
          <w:tcPr>
            <w:tcW w:w="3104" w:type="dxa"/>
            <w:gridSpan w:val="2"/>
            <w:shd w:val="clear" w:color="auto" w:fill="4F81BD" w:themeFill="accent1"/>
            <w:vAlign w:val="center"/>
          </w:tcPr>
          <w:p w:rsidR="00906854" w:rsidRPr="00906854" w:rsidRDefault="00906854" w:rsidP="00906854">
            <w:pPr>
              <w:jc w:val="both"/>
              <w:rPr>
                <w:color w:val="FFFFFF" w:themeColor="background1"/>
              </w:rPr>
            </w:pPr>
            <w:r w:rsidRPr="00906854">
              <w:rPr>
                <w:color w:val="FFFFFF" w:themeColor="background1"/>
              </w:rPr>
              <w:t xml:space="preserve">Name of person reporting the allegation </w:t>
            </w:r>
          </w:p>
        </w:tc>
        <w:tc>
          <w:tcPr>
            <w:tcW w:w="5892" w:type="dxa"/>
            <w:gridSpan w:val="3"/>
            <w:vAlign w:val="center"/>
          </w:tcPr>
          <w:p w:rsidR="00906854" w:rsidRDefault="00906854" w:rsidP="00906854">
            <w:pPr>
              <w:jc w:val="both"/>
            </w:pPr>
          </w:p>
        </w:tc>
      </w:tr>
      <w:tr w:rsidR="00906854" w:rsidTr="00906854">
        <w:tc>
          <w:tcPr>
            <w:tcW w:w="3104" w:type="dxa"/>
            <w:gridSpan w:val="2"/>
            <w:shd w:val="clear" w:color="auto" w:fill="4F81BD" w:themeFill="accent1"/>
            <w:vAlign w:val="center"/>
          </w:tcPr>
          <w:p w:rsidR="00906854" w:rsidRPr="00906854" w:rsidRDefault="00906854" w:rsidP="00906854">
            <w:pPr>
              <w:jc w:val="both"/>
              <w:rPr>
                <w:color w:val="FFFFFF" w:themeColor="background1"/>
              </w:rPr>
            </w:pPr>
            <w:r w:rsidRPr="00906854">
              <w:rPr>
                <w:color w:val="FFFFFF" w:themeColor="background1"/>
              </w:rPr>
              <w:t>Role of person reporting the allegation</w:t>
            </w:r>
          </w:p>
        </w:tc>
        <w:tc>
          <w:tcPr>
            <w:tcW w:w="5892" w:type="dxa"/>
            <w:gridSpan w:val="3"/>
            <w:vAlign w:val="center"/>
          </w:tcPr>
          <w:p w:rsidR="00906854" w:rsidRDefault="00906854" w:rsidP="00906854">
            <w:pPr>
              <w:jc w:val="both"/>
            </w:pPr>
          </w:p>
        </w:tc>
      </w:tr>
      <w:tr w:rsidR="00906854" w:rsidTr="00906854">
        <w:tc>
          <w:tcPr>
            <w:tcW w:w="3104" w:type="dxa"/>
            <w:gridSpan w:val="2"/>
            <w:shd w:val="clear" w:color="auto" w:fill="4F81BD" w:themeFill="accent1"/>
            <w:vAlign w:val="center"/>
          </w:tcPr>
          <w:p w:rsidR="00906854" w:rsidRPr="00906854" w:rsidRDefault="00906854" w:rsidP="00906854">
            <w:pPr>
              <w:jc w:val="both"/>
              <w:rPr>
                <w:color w:val="FFFFFF" w:themeColor="background1"/>
              </w:rPr>
            </w:pPr>
            <w:r w:rsidRPr="00906854">
              <w:rPr>
                <w:color w:val="FFFFFF" w:themeColor="background1"/>
              </w:rPr>
              <w:t xml:space="preserve">Qualification title </w:t>
            </w:r>
          </w:p>
          <w:p w:rsidR="00906854" w:rsidRPr="00906854" w:rsidRDefault="00906854" w:rsidP="00906854">
            <w:pPr>
              <w:jc w:val="both"/>
              <w:rPr>
                <w:color w:val="FFFFFF" w:themeColor="background1"/>
              </w:rPr>
            </w:pPr>
            <w:r w:rsidRPr="00906854">
              <w:rPr>
                <w:color w:val="FFFFFF" w:themeColor="background1"/>
              </w:rPr>
              <w:t>(if appropriate)</w:t>
            </w:r>
          </w:p>
        </w:tc>
        <w:tc>
          <w:tcPr>
            <w:tcW w:w="5892" w:type="dxa"/>
            <w:gridSpan w:val="3"/>
            <w:vAlign w:val="center"/>
          </w:tcPr>
          <w:p w:rsidR="00906854" w:rsidRDefault="00906854" w:rsidP="00906854">
            <w:pPr>
              <w:jc w:val="both"/>
            </w:pPr>
          </w:p>
        </w:tc>
      </w:tr>
      <w:tr w:rsidR="00906854" w:rsidTr="00906854">
        <w:trPr>
          <w:trHeight w:val="925"/>
        </w:trPr>
        <w:tc>
          <w:tcPr>
            <w:tcW w:w="3104" w:type="dxa"/>
            <w:gridSpan w:val="2"/>
            <w:shd w:val="clear" w:color="auto" w:fill="4F81BD" w:themeFill="accent1"/>
            <w:vAlign w:val="center"/>
          </w:tcPr>
          <w:p w:rsidR="00906854" w:rsidRPr="00906854" w:rsidRDefault="00906854" w:rsidP="00906854">
            <w:pPr>
              <w:jc w:val="both"/>
              <w:rPr>
                <w:color w:val="FFFFFF" w:themeColor="background1"/>
              </w:rPr>
            </w:pPr>
            <w:r w:rsidRPr="00906854">
              <w:rPr>
                <w:color w:val="FFFFFF" w:themeColor="background1"/>
              </w:rPr>
              <w:t>Names of those the allegation is against</w:t>
            </w:r>
          </w:p>
        </w:tc>
        <w:tc>
          <w:tcPr>
            <w:tcW w:w="5892" w:type="dxa"/>
            <w:gridSpan w:val="3"/>
            <w:vAlign w:val="center"/>
          </w:tcPr>
          <w:p w:rsidR="00906854" w:rsidRDefault="00906854" w:rsidP="00906854">
            <w:pPr>
              <w:jc w:val="both"/>
            </w:pPr>
          </w:p>
        </w:tc>
      </w:tr>
      <w:tr w:rsidR="00906854" w:rsidTr="00906854">
        <w:trPr>
          <w:trHeight w:val="394"/>
        </w:trPr>
        <w:tc>
          <w:tcPr>
            <w:tcW w:w="8996" w:type="dxa"/>
            <w:gridSpan w:val="5"/>
            <w:shd w:val="clear" w:color="auto" w:fill="4F81BD" w:themeFill="accent1"/>
            <w:vAlign w:val="center"/>
          </w:tcPr>
          <w:p w:rsidR="00906854" w:rsidRPr="00906854" w:rsidRDefault="00906854" w:rsidP="00906854">
            <w:pPr>
              <w:jc w:val="both"/>
              <w:rPr>
                <w:color w:val="FFFFFF" w:themeColor="background1"/>
              </w:rPr>
            </w:pPr>
            <w:r w:rsidRPr="00906854">
              <w:rPr>
                <w:color w:val="FFFFFF" w:themeColor="background1"/>
              </w:rPr>
              <w:t>Details of the allegation</w:t>
            </w:r>
          </w:p>
        </w:tc>
      </w:tr>
      <w:tr w:rsidR="00906854" w:rsidTr="00906854">
        <w:trPr>
          <w:trHeight w:val="8635"/>
        </w:trPr>
        <w:tc>
          <w:tcPr>
            <w:tcW w:w="8996" w:type="dxa"/>
            <w:gridSpan w:val="5"/>
            <w:vAlign w:val="center"/>
          </w:tcPr>
          <w:p w:rsidR="00906854" w:rsidRDefault="00906854" w:rsidP="00906854">
            <w:pPr>
              <w:jc w:val="both"/>
            </w:pPr>
          </w:p>
        </w:tc>
      </w:tr>
      <w:tr w:rsidR="00906854" w:rsidTr="00906854">
        <w:trPr>
          <w:trHeight w:val="574"/>
        </w:trPr>
        <w:tc>
          <w:tcPr>
            <w:tcW w:w="1403" w:type="dxa"/>
            <w:shd w:val="clear" w:color="auto" w:fill="4F81BD" w:themeFill="accent1"/>
            <w:vAlign w:val="center"/>
          </w:tcPr>
          <w:p w:rsidR="00906854" w:rsidRPr="00906854" w:rsidRDefault="00906854" w:rsidP="00906854">
            <w:pPr>
              <w:jc w:val="both"/>
              <w:rPr>
                <w:color w:val="FFFFFF" w:themeColor="background1"/>
              </w:rPr>
            </w:pPr>
            <w:r w:rsidRPr="00906854">
              <w:rPr>
                <w:color w:val="FFFFFF" w:themeColor="background1"/>
              </w:rPr>
              <w:t>Signature</w:t>
            </w:r>
          </w:p>
        </w:tc>
        <w:tc>
          <w:tcPr>
            <w:tcW w:w="4819" w:type="dxa"/>
            <w:gridSpan w:val="2"/>
            <w:vAlign w:val="center"/>
          </w:tcPr>
          <w:p w:rsidR="00906854" w:rsidRDefault="00906854" w:rsidP="00906854">
            <w:pPr>
              <w:jc w:val="both"/>
            </w:pPr>
          </w:p>
        </w:tc>
        <w:tc>
          <w:tcPr>
            <w:tcW w:w="810" w:type="dxa"/>
            <w:shd w:val="clear" w:color="auto" w:fill="4F81BD" w:themeFill="accent1"/>
            <w:vAlign w:val="center"/>
          </w:tcPr>
          <w:p w:rsidR="00906854" w:rsidRPr="00906854" w:rsidRDefault="00906854" w:rsidP="00906854">
            <w:pPr>
              <w:jc w:val="both"/>
              <w:rPr>
                <w:color w:val="FFFFFF" w:themeColor="background1"/>
              </w:rPr>
            </w:pPr>
            <w:r w:rsidRPr="00906854">
              <w:rPr>
                <w:color w:val="FFFFFF" w:themeColor="background1"/>
              </w:rPr>
              <w:t>Date</w:t>
            </w:r>
          </w:p>
        </w:tc>
        <w:tc>
          <w:tcPr>
            <w:tcW w:w="1964" w:type="dxa"/>
            <w:vAlign w:val="center"/>
          </w:tcPr>
          <w:p w:rsidR="00906854" w:rsidRDefault="00906854" w:rsidP="00906854">
            <w:pPr>
              <w:jc w:val="both"/>
            </w:pPr>
          </w:p>
        </w:tc>
      </w:tr>
    </w:tbl>
    <w:p w:rsidR="00F70F67" w:rsidRPr="00F70F67" w:rsidRDefault="00F70F67" w:rsidP="00F70F67">
      <w:r w:rsidRPr="00F70F67">
        <w:t xml:space="preserve">To be completed by the Designated </w:t>
      </w:r>
      <w:r>
        <w:t>Malpractice/Maladministration</w:t>
      </w:r>
      <w:r w:rsidRPr="00F70F67">
        <w:t xml:space="preserve"> Officer.</w:t>
      </w:r>
    </w:p>
    <w:tbl>
      <w:tblPr>
        <w:tblStyle w:val="TableGrid1"/>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29"/>
        <w:gridCol w:w="142"/>
        <w:gridCol w:w="2835"/>
        <w:gridCol w:w="850"/>
        <w:gridCol w:w="709"/>
        <w:gridCol w:w="931"/>
      </w:tblGrid>
      <w:tr w:rsidR="00F70F67" w:rsidRPr="00F70F67" w:rsidTr="005C32CF">
        <w:trPr>
          <w:trHeight w:val="452"/>
        </w:trPr>
        <w:tc>
          <w:tcPr>
            <w:tcW w:w="3529" w:type="dxa"/>
            <w:shd w:val="clear" w:color="auto" w:fill="4F81BD" w:themeFill="accent1"/>
            <w:vAlign w:val="center"/>
          </w:tcPr>
          <w:p w:rsidR="00F70F67" w:rsidRPr="00F70F67" w:rsidRDefault="00F70F67" w:rsidP="00F70F67">
            <w:pPr>
              <w:rPr>
                <w:color w:val="FFFFFF" w:themeColor="background1"/>
              </w:rPr>
            </w:pPr>
            <w:r w:rsidRPr="00F70F67">
              <w:rPr>
                <w:color w:val="FFFFFF" w:themeColor="background1"/>
              </w:rPr>
              <w:lastRenderedPageBreak/>
              <w:t>Date of Investigation</w:t>
            </w:r>
          </w:p>
        </w:tc>
        <w:tc>
          <w:tcPr>
            <w:tcW w:w="5467" w:type="dxa"/>
            <w:gridSpan w:val="5"/>
            <w:vAlign w:val="center"/>
          </w:tcPr>
          <w:p w:rsidR="00F70F67" w:rsidRPr="00F70F67" w:rsidRDefault="00F70F67" w:rsidP="00F70F67"/>
        </w:tc>
      </w:tr>
      <w:tr w:rsidR="00F70F67" w:rsidRPr="00F70F67" w:rsidTr="005C32CF">
        <w:trPr>
          <w:trHeight w:val="416"/>
        </w:trPr>
        <w:tc>
          <w:tcPr>
            <w:tcW w:w="8996" w:type="dxa"/>
            <w:gridSpan w:val="6"/>
            <w:shd w:val="clear" w:color="auto" w:fill="4F81BD" w:themeFill="accent1"/>
            <w:vAlign w:val="center"/>
          </w:tcPr>
          <w:p w:rsidR="00F70F67" w:rsidRPr="00F70F67" w:rsidRDefault="00F70F67" w:rsidP="00F70F67">
            <w:pPr>
              <w:rPr>
                <w:color w:val="FFFFFF" w:themeColor="background1"/>
              </w:rPr>
            </w:pPr>
            <w:r w:rsidRPr="00F70F67">
              <w:rPr>
                <w:color w:val="FFFFFF" w:themeColor="background1"/>
              </w:rPr>
              <w:t>Investigation Details</w:t>
            </w:r>
          </w:p>
        </w:tc>
      </w:tr>
      <w:tr w:rsidR="00F70F67" w:rsidRPr="00F70F67" w:rsidTr="005C32CF">
        <w:trPr>
          <w:trHeight w:val="6219"/>
        </w:trPr>
        <w:tc>
          <w:tcPr>
            <w:tcW w:w="8996" w:type="dxa"/>
            <w:gridSpan w:val="6"/>
            <w:vAlign w:val="center"/>
          </w:tcPr>
          <w:p w:rsidR="00F70F67" w:rsidRPr="00F70F67" w:rsidRDefault="00F70F67" w:rsidP="00F70F67"/>
        </w:tc>
      </w:tr>
      <w:tr w:rsidR="00F70F67" w:rsidRPr="00F70F67" w:rsidTr="005C32CF">
        <w:trPr>
          <w:trHeight w:val="262"/>
        </w:trPr>
        <w:tc>
          <w:tcPr>
            <w:tcW w:w="8996" w:type="dxa"/>
            <w:gridSpan w:val="6"/>
            <w:shd w:val="clear" w:color="auto" w:fill="4F81BD" w:themeFill="accent1"/>
            <w:vAlign w:val="center"/>
          </w:tcPr>
          <w:p w:rsidR="00F70F67" w:rsidRPr="00F70F67" w:rsidRDefault="00F70F67" w:rsidP="00F70F67">
            <w:pPr>
              <w:rPr>
                <w:color w:val="FFFFFF" w:themeColor="background1"/>
              </w:rPr>
            </w:pPr>
            <w:r w:rsidRPr="00F70F67">
              <w:rPr>
                <w:color w:val="FFFFFF" w:themeColor="background1"/>
              </w:rPr>
              <w:t>Outcome (tick one only)</w:t>
            </w:r>
          </w:p>
        </w:tc>
      </w:tr>
      <w:tr w:rsidR="00F70F67" w:rsidRPr="00F70F67" w:rsidTr="005C32CF">
        <w:trPr>
          <w:trHeight w:val="368"/>
        </w:trPr>
        <w:tc>
          <w:tcPr>
            <w:tcW w:w="8065" w:type="dxa"/>
            <w:gridSpan w:val="5"/>
            <w:shd w:val="clear" w:color="auto" w:fill="4F81BD" w:themeFill="accent1"/>
            <w:vAlign w:val="center"/>
          </w:tcPr>
          <w:p w:rsidR="00F70F67" w:rsidRPr="00F70F67" w:rsidRDefault="00F70F67" w:rsidP="00F70F67">
            <w:pPr>
              <w:rPr>
                <w:color w:val="FFFFFF" w:themeColor="background1"/>
              </w:rPr>
            </w:pPr>
            <w:r>
              <w:rPr>
                <w:color w:val="FFFFFF" w:themeColor="background1"/>
              </w:rPr>
              <w:t>No malpractice/maladministration identified</w:t>
            </w:r>
          </w:p>
        </w:tc>
        <w:tc>
          <w:tcPr>
            <w:tcW w:w="931" w:type="dxa"/>
            <w:vAlign w:val="center"/>
          </w:tcPr>
          <w:p w:rsidR="00F70F67" w:rsidRPr="00F70F67" w:rsidRDefault="00F70F67" w:rsidP="00F70F67"/>
        </w:tc>
      </w:tr>
      <w:tr w:rsidR="00F70F67" w:rsidRPr="00F70F67" w:rsidTr="005C32CF">
        <w:trPr>
          <w:trHeight w:val="408"/>
        </w:trPr>
        <w:tc>
          <w:tcPr>
            <w:tcW w:w="8065" w:type="dxa"/>
            <w:gridSpan w:val="5"/>
            <w:shd w:val="clear" w:color="auto" w:fill="4F81BD" w:themeFill="accent1"/>
            <w:vAlign w:val="center"/>
          </w:tcPr>
          <w:p w:rsidR="00F70F67" w:rsidRPr="00F70F67" w:rsidRDefault="00F70F67" w:rsidP="00F70F67">
            <w:pPr>
              <w:rPr>
                <w:color w:val="FFFFFF" w:themeColor="background1"/>
              </w:rPr>
            </w:pPr>
            <w:r>
              <w:rPr>
                <w:color w:val="FFFFFF" w:themeColor="background1"/>
              </w:rPr>
              <w:t>Maladministration confirmed</w:t>
            </w:r>
          </w:p>
        </w:tc>
        <w:tc>
          <w:tcPr>
            <w:tcW w:w="931" w:type="dxa"/>
            <w:vAlign w:val="center"/>
          </w:tcPr>
          <w:p w:rsidR="00F70F67" w:rsidRPr="00F70F67" w:rsidRDefault="00F70F67" w:rsidP="00F70F67"/>
        </w:tc>
      </w:tr>
      <w:tr w:rsidR="00F70F67" w:rsidRPr="00F70F67" w:rsidTr="005C32CF">
        <w:trPr>
          <w:trHeight w:val="408"/>
        </w:trPr>
        <w:tc>
          <w:tcPr>
            <w:tcW w:w="8065" w:type="dxa"/>
            <w:gridSpan w:val="5"/>
            <w:shd w:val="clear" w:color="auto" w:fill="4F81BD" w:themeFill="accent1"/>
            <w:vAlign w:val="center"/>
          </w:tcPr>
          <w:p w:rsidR="00F70F67" w:rsidRPr="00F70F67" w:rsidRDefault="00F70F67" w:rsidP="00F70F67">
            <w:pPr>
              <w:rPr>
                <w:color w:val="FFFFFF" w:themeColor="background1"/>
              </w:rPr>
            </w:pPr>
            <w:r>
              <w:rPr>
                <w:color w:val="FFFFFF" w:themeColor="background1"/>
              </w:rPr>
              <w:t>Malpractice confirmed</w:t>
            </w:r>
          </w:p>
        </w:tc>
        <w:tc>
          <w:tcPr>
            <w:tcW w:w="931" w:type="dxa"/>
            <w:vAlign w:val="center"/>
          </w:tcPr>
          <w:p w:rsidR="00F70F67" w:rsidRPr="00F70F67" w:rsidRDefault="00F70F67" w:rsidP="00F70F67"/>
        </w:tc>
      </w:tr>
      <w:tr w:rsidR="00F70F67" w:rsidRPr="00F70F67" w:rsidTr="005C32CF">
        <w:trPr>
          <w:trHeight w:val="1520"/>
        </w:trPr>
        <w:tc>
          <w:tcPr>
            <w:tcW w:w="3671" w:type="dxa"/>
            <w:gridSpan w:val="2"/>
            <w:shd w:val="clear" w:color="auto" w:fill="4F81BD" w:themeFill="accent1"/>
            <w:vAlign w:val="center"/>
          </w:tcPr>
          <w:p w:rsidR="00F70F67" w:rsidRPr="00F70F67" w:rsidRDefault="00F70F67" w:rsidP="00F70F67">
            <w:pPr>
              <w:rPr>
                <w:color w:val="FFFFFF" w:themeColor="background1"/>
              </w:rPr>
            </w:pPr>
            <w:r w:rsidRPr="00F70F67">
              <w:rPr>
                <w:color w:val="FFFFFF" w:themeColor="background1"/>
              </w:rPr>
              <w:t xml:space="preserve">Where </w:t>
            </w:r>
            <w:r>
              <w:rPr>
                <w:color w:val="FFFFFF" w:themeColor="background1"/>
              </w:rPr>
              <w:t>malpractice or maladministration</w:t>
            </w:r>
            <w:r w:rsidRPr="00F70F67">
              <w:rPr>
                <w:color w:val="FFFFFF" w:themeColor="background1"/>
              </w:rPr>
              <w:t xml:space="preserve"> is </w:t>
            </w:r>
            <w:r>
              <w:rPr>
                <w:color w:val="FFFFFF" w:themeColor="background1"/>
              </w:rPr>
              <w:t>confirmed</w:t>
            </w:r>
            <w:r w:rsidRPr="00F70F67">
              <w:rPr>
                <w:color w:val="FFFFFF" w:themeColor="background1"/>
              </w:rPr>
              <w:t>, please indicate subsequent remedial action</w:t>
            </w:r>
          </w:p>
        </w:tc>
        <w:tc>
          <w:tcPr>
            <w:tcW w:w="5325" w:type="dxa"/>
            <w:gridSpan w:val="4"/>
            <w:vAlign w:val="center"/>
          </w:tcPr>
          <w:p w:rsidR="00F70F67" w:rsidRPr="00F70F67" w:rsidRDefault="00F70F67" w:rsidP="00F70F67"/>
        </w:tc>
      </w:tr>
      <w:tr w:rsidR="00F70F67" w:rsidRPr="00F70F67" w:rsidTr="005C32CF">
        <w:trPr>
          <w:trHeight w:val="560"/>
        </w:trPr>
        <w:tc>
          <w:tcPr>
            <w:tcW w:w="3671" w:type="dxa"/>
            <w:gridSpan w:val="2"/>
            <w:shd w:val="clear" w:color="auto" w:fill="4F81BD" w:themeFill="accent1"/>
            <w:vAlign w:val="center"/>
          </w:tcPr>
          <w:p w:rsidR="00F70F67" w:rsidRPr="00F70F67" w:rsidRDefault="00F70F67" w:rsidP="00F70F67">
            <w:pPr>
              <w:rPr>
                <w:color w:val="FFFFFF" w:themeColor="background1"/>
              </w:rPr>
            </w:pPr>
            <w:r w:rsidRPr="00F70F67">
              <w:rPr>
                <w:color w:val="FFFFFF" w:themeColor="background1"/>
              </w:rPr>
              <w:t xml:space="preserve">Designated </w:t>
            </w:r>
            <w:r>
              <w:rPr>
                <w:color w:val="FFFFFF" w:themeColor="background1"/>
              </w:rPr>
              <w:t>Malpractice/Maladministration</w:t>
            </w:r>
            <w:r w:rsidRPr="00F70F67">
              <w:rPr>
                <w:color w:val="FFFFFF" w:themeColor="background1"/>
              </w:rPr>
              <w:t xml:space="preserve"> Officer signature</w:t>
            </w:r>
          </w:p>
        </w:tc>
        <w:tc>
          <w:tcPr>
            <w:tcW w:w="2835" w:type="dxa"/>
            <w:vAlign w:val="center"/>
          </w:tcPr>
          <w:p w:rsidR="00F70F67" w:rsidRPr="00F70F67" w:rsidRDefault="00F70F67" w:rsidP="00F70F67"/>
        </w:tc>
        <w:tc>
          <w:tcPr>
            <w:tcW w:w="850" w:type="dxa"/>
            <w:shd w:val="clear" w:color="auto" w:fill="4F81BD" w:themeFill="accent1"/>
            <w:vAlign w:val="center"/>
          </w:tcPr>
          <w:p w:rsidR="00F70F67" w:rsidRPr="00F70F67" w:rsidRDefault="00F70F67" w:rsidP="00F70F67">
            <w:pPr>
              <w:rPr>
                <w:color w:val="FFFFFF" w:themeColor="background1"/>
              </w:rPr>
            </w:pPr>
            <w:r w:rsidRPr="00F70F67">
              <w:rPr>
                <w:color w:val="FFFFFF" w:themeColor="background1"/>
              </w:rPr>
              <w:t>Date</w:t>
            </w:r>
          </w:p>
        </w:tc>
        <w:tc>
          <w:tcPr>
            <w:tcW w:w="1640" w:type="dxa"/>
            <w:gridSpan w:val="2"/>
            <w:vAlign w:val="center"/>
          </w:tcPr>
          <w:p w:rsidR="00F70F67" w:rsidRPr="00F70F67" w:rsidRDefault="00F70F67" w:rsidP="00F70F67"/>
        </w:tc>
      </w:tr>
    </w:tbl>
    <w:p w:rsidR="00691DD7" w:rsidRDefault="00691DD7" w:rsidP="00110202">
      <w:pPr>
        <w:spacing w:after="0"/>
      </w:pPr>
    </w:p>
    <w:p w:rsidR="00F70F67" w:rsidRDefault="00F70F67" w:rsidP="00F70F67">
      <w:pPr>
        <w:spacing w:after="0"/>
        <w:jc w:val="both"/>
      </w:pPr>
      <w:r w:rsidRPr="00F70F67">
        <w:t xml:space="preserve">In the event that malpractice or maladministration is identified the Designated </w:t>
      </w:r>
      <w:r>
        <w:t xml:space="preserve">Malpractice/Maladministration </w:t>
      </w:r>
      <w:r w:rsidRPr="00F70F67">
        <w:t>Officer should inform the 1st4sport Qualifications Compliance and Risk Team who will then investigate following the 1st4sport Qualifications Position Statement – Malpractice and Maladministration.</w:t>
      </w:r>
    </w:p>
    <w:p w:rsidR="00691DD7" w:rsidRDefault="00691DD7" w:rsidP="00110202">
      <w:pPr>
        <w:spacing w:after="0"/>
      </w:pPr>
    </w:p>
    <w:p w:rsidR="00691DD7" w:rsidRDefault="00691DD7" w:rsidP="00110202">
      <w:pPr>
        <w:spacing w:after="0"/>
      </w:pPr>
    </w:p>
    <w:p w:rsidR="00BC074B" w:rsidRPr="00BC074B" w:rsidRDefault="00BC074B" w:rsidP="00BC074B">
      <w:pPr>
        <w:pStyle w:val="NoSpacing"/>
        <w:jc w:val="both"/>
        <w:rPr>
          <w:rFonts w:ascii="Arial" w:hAnsi="Arial" w:cs="Arial"/>
          <w:b/>
          <w:sz w:val="22"/>
        </w:rPr>
      </w:pPr>
      <w:r w:rsidRPr="00BC074B">
        <w:rPr>
          <w:rFonts w:ascii="Arial" w:hAnsi="Arial" w:cs="Arial"/>
          <w:b/>
          <w:sz w:val="22"/>
        </w:rPr>
        <w:t>Outcomes and Penalties</w:t>
      </w:r>
    </w:p>
    <w:p w:rsidR="00BC074B" w:rsidRDefault="00BC074B" w:rsidP="00BC074B">
      <w:pPr>
        <w:pStyle w:val="NoSpacing"/>
        <w:jc w:val="both"/>
      </w:pPr>
    </w:p>
    <w:p w:rsidR="00BC074B" w:rsidRPr="00BC074B" w:rsidRDefault="00BC074B" w:rsidP="00BC074B">
      <w:pPr>
        <w:pStyle w:val="NoSpacing"/>
        <w:jc w:val="both"/>
        <w:rPr>
          <w:rFonts w:ascii="Arial" w:hAnsi="Arial" w:cs="Arial"/>
          <w:sz w:val="22"/>
          <w:szCs w:val="22"/>
        </w:rPr>
      </w:pPr>
      <w:r w:rsidRPr="00BC074B">
        <w:rPr>
          <w:rFonts w:ascii="Arial" w:hAnsi="Arial" w:cs="Arial"/>
          <w:sz w:val="22"/>
          <w:szCs w:val="22"/>
        </w:rPr>
        <w:lastRenderedPageBreak/>
        <w:t>Withholding information or failing to report promptly any suspected cases of malpractice or maladministration by centre personnel may result in the imposition of sanctions on. This may lead to withdrawal of centre statuses.</w:t>
      </w:r>
    </w:p>
    <w:p w:rsidR="00BC074B" w:rsidRPr="00BC074B" w:rsidRDefault="00BC074B" w:rsidP="00BC074B">
      <w:pPr>
        <w:autoSpaceDE w:val="0"/>
        <w:autoSpaceDN w:val="0"/>
        <w:adjustRightInd w:val="0"/>
        <w:spacing w:after="0" w:line="240" w:lineRule="auto"/>
        <w:jc w:val="both"/>
        <w:rPr>
          <w:rFonts w:cs="Arial"/>
          <w:color w:val="000000"/>
        </w:rPr>
      </w:pPr>
    </w:p>
    <w:p w:rsidR="00BC074B" w:rsidRPr="00BC074B" w:rsidRDefault="00BC074B" w:rsidP="00BC074B">
      <w:pPr>
        <w:autoSpaceDE w:val="0"/>
        <w:autoSpaceDN w:val="0"/>
        <w:adjustRightInd w:val="0"/>
        <w:spacing w:after="0" w:line="240" w:lineRule="auto"/>
        <w:jc w:val="both"/>
        <w:rPr>
          <w:rFonts w:cs="Arial"/>
          <w:iCs/>
          <w:color w:val="000000"/>
        </w:rPr>
      </w:pPr>
      <w:r w:rsidRPr="00BC074B">
        <w:rPr>
          <w:rFonts w:cs="Arial"/>
          <w:iCs/>
          <w:color w:val="000000"/>
        </w:rPr>
        <w:t>Personnel who commit malpractice</w:t>
      </w:r>
      <w:r>
        <w:rPr>
          <w:rFonts w:cs="Arial"/>
          <w:iCs/>
          <w:color w:val="000000"/>
        </w:rPr>
        <w:t>/maladministration</w:t>
      </w:r>
      <w:r w:rsidRPr="00BC074B">
        <w:rPr>
          <w:rFonts w:cs="Arial"/>
          <w:iCs/>
          <w:color w:val="000000"/>
        </w:rPr>
        <w:t>, which is confirmed after investigation, may be subject to penalties, including:</w:t>
      </w:r>
    </w:p>
    <w:p w:rsidR="00BC074B" w:rsidRPr="00BC074B" w:rsidRDefault="00BC074B" w:rsidP="00BC074B">
      <w:pPr>
        <w:autoSpaceDE w:val="0"/>
        <w:autoSpaceDN w:val="0"/>
        <w:adjustRightInd w:val="0"/>
        <w:spacing w:after="0" w:line="240" w:lineRule="auto"/>
        <w:jc w:val="both"/>
        <w:rPr>
          <w:rFonts w:cs="Arial"/>
          <w:iCs/>
          <w:color w:val="000000"/>
        </w:rPr>
      </w:pPr>
    </w:p>
    <w:p w:rsidR="00BC074B" w:rsidRPr="00BC074B" w:rsidRDefault="00BC074B" w:rsidP="00BC074B">
      <w:pPr>
        <w:pStyle w:val="Header"/>
        <w:numPr>
          <w:ilvl w:val="0"/>
          <w:numId w:val="4"/>
        </w:numPr>
        <w:tabs>
          <w:tab w:val="clear" w:pos="4513"/>
          <w:tab w:val="clear" w:pos="9026"/>
        </w:tabs>
        <w:rPr>
          <w:rFonts w:cs="Arial"/>
          <w:iCs/>
          <w:color w:val="000000"/>
        </w:rPr>
      </w:pPr>
      <w:r w:rsidRPr="00BC074B">
        <w:rPr>
          <w:rFonts w:cs="Arial"/>
          <w:iCs/>
          <w:color w:val="000000"/>
        </w:rPr>
        <w:t>exclusion from the delivery of the qualification</w:t>
      </w:r>
      <w:r>
        <w:rPr>
          <w:rFonts w:cs="Arial"/>
          <w:iCs/>
          <w:color w:val="000000"/>
        </w:rPr>
        <w:t xml:space="preserve"> (either at the centre or across all centres).</w:t>
      </w:r>
    </w:p>
    <w:p w:rsidR="00BC074B" w:rsidRPr="00BC074B" w:rsidRDefault="00BC074B" w:rsidP="00BC074B">
      <w:pPr>
        <w:pStyle w:val="Header"/>
        <w:numPr>
          <w:ilvl w:val="0"/>
          <w:numId w:val="4"/>
        </w:numPr>
        <w:tabs>
          <w:tab w:val="clear" w:pos="4513"/>
          <w:tab w:val="clear" w:pos="9026"/>
        </w:tabs>
        <w:jc w:val="both"/>
        <w:rPr>
          <w:rFonts w:cs="Arial"/>
          <w:iCs/>
          <w:color w:val="000000"/>
        </w:rPr>
      </w:pPr>
      <w:r w:rsidRPr="00BC074B">
        <w:rPr>
          <w:rFonts w:cs="Arial"/>
          <w:iCs/>
          <w:color w:val="000000"/>
        </w:rPr>
        <w:t>exclusion from the assessment of the qualification</w:t>
      </w:r>
      <w:r>
        <w:rPr>
          <w:rFonts w:cs="Arial"/>
          <w:iCs/>
          <w:color w:val="000000"/>
        </w:rPr>
        <w:t xml:space="preserve"> (either at the centre or across all centres).</w:t>
      </w:r>
    </w:p>
    <w:p w:rsidR="00BC074B" w:rsidRPr="00BC074B" w:rsidRDefault="00BC074B" w:rsidP="00BC074B">
      <w:pPr>
        <w:pStyle w:val="Header"/>
        <w:numPr>
          <w:ilvl w:val="0"/>
          <w:numId w:val="4"/>
        </w:numPr>
        <w:tabs>
          <w:tab w:val="clear" w:pos="4513"/>
          <w:tab w:val="clear" w:pos="9026"/>
        </w:tabs>
        <w:rPr>
          <w:rFonts w:cs="Arial"/>
          <w:iCs/>
          <w:color w:val="000000"/>
        </w:rPr>
      </w:pPr>
      <w:r w:rsidRPr="00BC074B">
        <w:rPr>
          <w:rFonts w:cs="Arial"/>
          <w:iCs/>
          <w:color w:val="000000"/>
        </w:rPr>
        <w:t xml:space="preserve">exclusion from the </w:t>
      </w:r>
      <w:r w:rsidRPr="00BC074B">
        <w:rPr>
          <w:rFonts w:cs="Arial"/>
          <w:color w:val="000000"/>
        </w:rPr>
        <w:t>internal verification/moderation</w:t>
      </w:r>
      <w:r w:rsidRPr="00BC074B">
        <w:rPr>
          <w:rFonts w:cs="Arial"/>
          <w:iCs/>
          <w:color w:val="000000"/>
        </w:rPr>
        <w:t xml:space="preserve"> of the qualification</w:t>
      </w:r>
      <w:r>
        <w:rPr>
          <w:rFonts w:cs="Arial"/>
          <w:iCs/>
          <w:color w:val="000000"/>
        </w:rPr>
        <w:t xml:space="preserve"> (either at the centre or across all centres).</w:t>
      </w:r>
    </w:p>
    <w:p w:rsidR="00BC074B" w:rsidRPr="00BC074B" w:rsidRDefault="00BC074B" w:rsidP="00BC074B">
      <w:pPr>
        <w:numPr>
          <w:ilvl w:val="0"/>
          <w:numId w:val="4"/>
        </w:numPr>
        <w:spacing w:after="0" w:line="240" w:lineRule="auto"/>
        <w:rPr>
          <w:rFonts w:cs="Arial"/>
          <w:iCs/>
          <w:color w:val="000000"/>
        </w:rPr>
      </w:pPr>
      <w:r w:rsidRPr="00BC074B">
        <w:rPr>
          <w:rFonts w:cs="Arial"/>
          <w:iCs/>
          <w:color w:val="000000"/>
        </w:rPr>
        <w:t>exclusion from the financial/quality management/administration of the qualification</w:t>
      </w:r>
      <w:r>
        <w:rPr>
          <w:rFonts w:cs="Arial"/>
          <w:iCs/>
          <w:color w:val="000000"/>
        </w:rPr>
        <w:t xml:space="preserve"> (either at the centre or across all centres).</w:t>
      </w:r>
    </w:p>
    <w:p w:rsidR="00BC074B" w:rsidRPr="00BC074B" w:rsidRDefault="00BC074B" w:rsidP="00BC074B">
      <w:pPr>
        <w:pStyle w:val="BodyText"/>
        <w:numPr>
          <w:ilvl w:val="0"/>
          <w:numId w:val="4"/>
        </w:numPr>
        <w:rPr>
          <w:rFonts w:ascii="Arial" w:hAnsi="Arial" w:cs="Arial"/>
          <w:color w:val="000000"/>
          <w:sz w:val="22"/>
          <w:szCs w:val="22"/>
        </w:rPr>
      </w:pPr>
      <w:r w:rsidRPr="00BC074B">
        <w:rPr>
          <w:rFonts w:ascii="Arial" w:hAnsi="Arial" w:cs="Arial"/>
          <w:color w:val="000000"/>
          <w:sz w:val="22"/>
          <w:szCs w:val="22"/>
        </w:rPr>
        <w:t>temporary suspension</w:t>
      </w:r>
      <w:r>
        <w:rPr>
          <w:rFonts w:ascii="Arial" w:hAnsi="Arial" w:cs="Arial"/>
          <w:color w:val="000000"/>
          <w:sz w:val="22"/>
          <w:szCs w:val="22"/>
          <w:lang w:val="en-GB"/>
        </w:rPr>
        <w:t>.</w:t>
      </w:r>
    </w:p>
    <w:p w:rsidR="00BC074B" w:rsidRPr="00BC074B" w:rsidRDefault="00BC074B" w:rsidP="00BC074B">
      <w:pPr>
        <w:pStyle w:val="BodyText"/>
        <w:numPr>
          <w:ilvl w:val="0"/>
          <w:numId w:val="4"/>
        </w:numPr>
        <w:rPr>
          <w:rFonts w:ascii="Arial" w:hAnsi="Arial" w:cs="Arial"/>
          <w:color w:val="000000"/>
          <w:sz w:val="22"/>
          <w:szCs w:val="22"/>
        </w:rPr>
      </w:pPr>
      <w:r w:rsidRPr="00BC074B">
        <w:rPr>
          <w:rFonts w:ascii="Arial" w:hAnsi="Arial" w:cs="Arial"/>
          <w:color w:val="000000"/>
          <w:sz w:val="22"/>
          <w:szCs w:val="22"/>
        </w:rPr>
        <w:t>work only under supervision</w:t>
      </w:r>
      <w:r>
        <w:rPr>
          <w:rFonts w:ascii="Arial" w:hAnsi="Arial" w:cs="Arial"/>
          <w:color w:val="000000"/>
          <w:sz w:val="22"/>
          <w:szCs w:val="22"/>
          <w:lang w:val="en-GB"/>
        </w:rPr>
        <w:t>.</w:t>
      </w:r>
    </w:p>
    <w:p w:rsidR="00BC074B" w:rsidRPr="00BC074B" w:rsidRDefault="00BC074B" w:rsidP="00BC074B">
      <w:pPr>
        <w:numPr>
          <w:ilvl w:val="0"/>
          <w:numId w:val="4"/>
        </w:numPr>
        <w:autoSpaceDE w:val="0"/>
        <w:autoSpaceDN w:val="0"/>
        <w:adjustRightInd w:val="0"/>
        <w:spacing w:after="0" w:line="240" w:lineRule="auto"/>
        <w:jc w:val="both"/>
        <w:rPr>
          <w:rFonts w:cs="Arial"/>
          <w:iCs/>
          <w:color w:val="000000"/>
        </w:rPr>
      </w:pPr>
      <w:r w:rsidRPr="00BC074B">
        <w:rPr>
          <w:rFonts w:cs="Arial"/>
          <w:color w:val="000000"/>
        </w:rPr>
        <w:t>undertake specific training.</w:t>
      </w:r>
    </w:p>
    <w:p w:rsidR="00BC074B" w:rsidRPr="00BC074B" w:rsidRDefault="00BC074B" w:rsidP="00BC074B">
      <w:pPr>
        <w:pStyle w:val="TOC1"/>
        <w:rPr>
          <w:rFonts w:ascii="Arial" w:hAnsi="Arial" w:cs="Arial"/>
          <w:color w:val="000000"/>
          <w:sz w:val="22"/>
          <w:szCs w:val="22"/>
        </w:rPr>
      </w:pPr>
    </w:p>
    <w:p w:rsidR="00BC074B" w:rsidRPr="00BC074B" w:rsidRDefault="00BC074B" w:rsidP="00BC074B">
      <w:pPr>
        <w:autoSpaceDE w:val="0"/>
        <w:autoSpaceDN w:val="0"/>
        <w:adjustRightInd w:val="0"/>
        <w:spacing w:after="0" w:line="240" w:lineRule="auto"/>
        <w:jc w:val="both"/>
        <w:rPr>
          <w:rFonts w:cs="Arial"/>
          <w:color w:val="000000"/>
        </w:rPr>
      </w:pPr>
      <w:r w:rsidRPr="00BC074B">
        <w:rPr>
          <w:rFonts w:cs="Arial"/>
          <w:color w:val="000000"/>
        </w:rPr>
        <w:t xml:space="preserve">Learners </w:t>
      </w:r>
      <w:r>
        <w:rPr>
          <w:rFonts w:cs="Arial"/>
          <w:color w:val="000000"/>
        </w:rPr>
        <w:t xml:space="preserve">should </w:t>
      </w:r>
      <w:r w:rsidRPr="00BC074B">
        <w:rPr>
          <w:rFonts w:cs="Arial"/>
          <w:color w:val="000000"/>
        </w:rPr>
        <w:t>be</w:t>
      </w:r>
      <w:r>
        <w:rPr>
          <w:rFonts w:cs="Arial"/>
          <w:color w:val="000000"/>
        </w:rPr>
        <w:t xml:space="preserve"> made</w:t>
      </w:r>
      <w:r w:rsidRPr="00BC074B">
        <w:rPr>
          <w:rFonts w:cs="Arial"/>
          <w:color w:val="000000"/>
        </w:rPr>
        <w:t xml:space="preserve"> aware of the penalties for/</w:t>
      </w:r>
      <w:r w:rsidRPr="00BC074B">
        <w:rPr>
          <w:rFonts w:cs="Arial"/>
          <w:iCs/>
          <w:color w:val="000000"/>
        </w:rPr>
        <w:t xml:space="preserve">consequences </w:t>
      </w:r>
      <w:r w:rsidRPr="00BC074B">
        <w:rPr>
          <w:rFonts w:cs="Arial"/>
          <w:color w:val="000000"/>
        </w:rPr>
        <w:t>of breaching regulations, which may include one or more of the following:</w:t>
      </w:r>
    </w:p>
    <w:p w:rsidR="00BC074B" w:rsidRPr="00BC074B" w:rsidRDefault="00BC074B" w:rsidP="00BC074B">
      <w:pPr>
        <w:autoSpaceDE w:val="0"/>
        <w:autoSpaceDN w:val="0"/>
        <w:adjustRightInd w:val="0"/>
        <w:spacing w:after="0" w:line="240" w:lineRule="auto"/>
        <w:jc w:val="both"/>
        <w:rPr>
          <w:rFonts w:cs="Arial"/>
          <w:color w:val="000000"/>
        </w:rPr>
      </w:pPr>
    </w:p>
    <w:p w:rsidR="00BC074B" w:rsidRPr="00BC074B" w:rsidRDefault="00BC074B" w:rsidP="00BC074B">
      <w:pPr>
        <w:pStyle w:val="BodyText3"/>
        <w:numPr>
          <w:ilvl w:val="0"/>
          <w:numId w:val="3"/>
        </w:numPr>
        <w:autoSpaceDE w:val="0"/>
        <w:autoSpaceDN w:val="0"/>
        <w:adjustRightInd w:val="0"/>
        <w:jc w:val="both"/>
        <w:rPr>
          <w:rFonts w:ascii="Arial" w:hAnsi="Arial" w:cs="Arial"/>
          <w:iCs/>
          <w:color w:val="000000"/>
          <w:sz w:val="22"/>
          <w:szCs w:val="22"/>
        </w:rPr>
      </w:pPr>
      <w:r w:rsidRPr="00BC074B">
        <w:rPr>
          <w:rFonts w:ascii="Arial" w:hAnsi="Arial" w:cs="Arial"/>
          <w:iCs/>
          <w:color w:val="000000"/>
          <w:sz w:val="22"/>
          <w:szCs w:val="22"/>
        </w:rPr>
        <w:t>written warning</w:t>
      </w:r>
      <w:r>
        <w:rPr>
          <w:rFonts w:ascii="Arial" w:hAnsi="Arial" w:cs="Arial"/>
          <w:iCs/>
          <w:color w:val="000000"/>
          <w:sz w:val="22"/>
          <w:szCs w:val="22"/>
        </w:rPr>
        <w:t>.</w:t>
      </w:r>
    </w:p>
    <w:p w:rsidR="00BC074B" w:rsidRPr="00BC074B" w:rsidRDefault="00BC074B" w:rsidP="00BC074B">
      <w:pPr>
        <w:numPr>
          <w:ilvl w:val="0"/>
          <w:numId w:val="3"/>
        </w:numPr>
        <w:autoSpaceDE w:val="0"/>
        <w:autoSpaceDN w:val="0"/>
        <w:adjustRightInd w:val="0"/>
        <w:spacing w:after="0" w:line="240" w:lineRule="auto"/>
        <w:jc w:val="both"/>
        <w:rPr>
          <w:rFonts w:cs="Arial"/>
          <w:color w:val="000000"/>
        </w:rPr>
      </w:pPr>
      <w:r w:rsidRPr="00BC074B">
        <w:rPr>
          <w:rFonts w:cs="Arial"/>
          <w:color w:val="000000"/>
        </w:rPr>
        <w:t>disqualification from entering one or more (re)assessments</w:t>
      </w:r>
      <w:r>
        <w:rPr>
          <w:rFonts w:cs="Arial"/>
          <w:color w:val="000000"/>
        </w:rPr>
        <w:t>.</w:t>
      </w:r>
    </w:p>
    <w:p w:rsidR="00BC074B" w:rsidRPr="00BC074B" w:rsidRDefault="00BC074B" w:rsidP="00BC074B">
      <w:pPr>
        <w:pStyle w:val="Heading6"/>
        <w:numPr>
          <w:ilvl w:val="0"/>
          <w:numId w:val="3"/>
        </w:numPr>
        <w:rPr>
          <w:rFonts w:ascii="Arial" w:hAnsi="Arial" w:cs="Arial"/>
          <w:bCs w:val="0"/>
          <w:color w:val="000000"/>
          <w:sz w:val="22"/>
          <w:szCs w:val="22"/>
        </w:rPr>
      </w:pPr>
      <w:r w:rsidRPr="00BC074B">
        <w:rPr>
          <w:rFonts w:ascii="Arial" w:hAnsi="Arial" w:cs="Arial"/>
          <w:bCs w:val="0"/>
          <w:color w:val="000000"/>
          <w:sz w:val="22"/>
          <w:szCs w:val="22"/>
        </w:rPr>
        <w:t>disqualification from the whole qualification.</w:t>
      </w:r>
    </w:p>
    <w:p w:rsidR="00BC074B" w:rsidRPr="00BC074B" w:rsidRDefault="00BC074B" w:rsidP="00BC074B">
      <w:pPr>
        <w:autoSpaceDE w:val="0"/>
        <w:autoSpaceDN w:val="0"/>
        <w:adjustRightInd w:val="0"/>
        <w:spacing w:after="0" w:line="240" w:lineRule="auto"/>
        <w:jc w:val="both"/>
        <w:rPr>
          <w:rFonts w:cs="Arial"/>
          <w:color w:val="000000"/>
        </w:rPr>
      </w:pPr>
    </w:p>
    <w:p w:rsidR="00BC074B" w:rsidRPr="00BC074B" w:rsidRDefault="00BC074B" w:rsidP="00BC074B">
      <w:pPr>
        <w:autoSpaceDE w:val="0"/>
        <w:autoSpaceDN w:val="0"/>
        <w:adjustRightInd w:val="0"/>
        <w:spacing w:after="0" w:line="240" w:lineRule="auto"/>
        <w:jc w:val="both"/>
        <w:rPr>
          <w:rFonts w:cs="Arial"/>
          <w:iCs/>
          <w:color w:val="000000"/>
        </w:rPr>
      </w:pPr>
      <w:r w:rsidRPr="00BC074B">
        <w:rPr>
          <w:rFonts w:cs="Arial"/>
          <w:iCs/>
          <w:color w:val="000000"/>
        </w:rPr>
        <w:t>Learners must understand that where the allegations are proven, certificates may be invalid</w:t>
      </w:r>
      <w:r>
        <w:rPr>
          <w:rFonts w:cs="Arial"/>
          <w:iCs/>
          <w:color w:val="000000"/>
        </w:rPr>
        <w:t>ated</w:t>
      </w:r>
      <w:r w:rsidRPr="00BC074B">
        <w:rPr>
          <w:rFonts w:cs="Arial"/>
          <w:iCs/>
          <w:color w:val="000000"/>
        </w:rPr>
        <w:t xml:space="preserve"> and those already issued may be withdrawn.</w:t>
      </w:r>
    </w:p>
    <w:p w:rsidR="00535EBA" w:rsidRPr="00535EBA" w:rsidRDefault="00535EBA" w:rsidP="00535EBA"/>
    <w:p w:rsidR="00535EBA" w:rsidRPr="00535EBA" w:rsidRDefault="00535EBA" w:rsidP="00535EBA"/>
    <w:p w:rsidR="00535EBA" w:rsidRPr="00535EBA" w:rsidRDefault="00535EBA" w:rsidP="00535EBA"/>
    <w:p w:rsidR="00535EBA" w:rsidRDefault="00535EBA" w:rsidP="00535EBA"/>
    <w:p w:rsidR="00535EBA" w:rsidRPr="00535EBA" w:rsidRDefault="00535EBA" w:rsidP="00535EBA"/>
    <w:sectPr w:rsidR="00535EBA" w:rsidRPr="00535EBA" w:rsidSect="00FA76A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FEB" w:rsidRDefault="00693FEB" w:rsidP="00693FEB">
      <w:pPr>
        <w:spacing w:after="0" w:line="240" w:lineRule="auto"/>
      </w:pPr>
      <w:r>
        <w:separator/>
      </w:r>
    </w:p>
  </w:endnote>
  <w:endnote w:type="continuationSeparator" w:id="0">
    <w:p w:rsidR="00693FEB" w:rsidRDefault="00693FEB" w:rsidP="0069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495958"/>
      <w:docPartObj>
        <w:docPartGallery w:val="Page Numbers (Bottom of Page)"/>
        <w:docPartUnique/>
      </w:docPartObj>
    </w:sdtPr>
    <w:sdtEndPr>
      <w:rPr>
        <w:noProof/>
      </w:rPr>
    </w:sdtEndPr>
    <w:sdtContent>
      <w:p w:rsidR="00AA686B" w:rsidRDefault="00AA686B">
        <w:pPr>
          <w:pStyle w:val="Footer"/>
          <w:jc w:val="center"/>
        </w:pPr>
        <w:r>
          <w:fldChar w:fldCharType="begin"/>
        </w:r>
        <w:r>
          <w:instrText xml:space="preserve"> PAGE   \* MERGEFORMAT </w:instrText>
        </w:r>
        <w:r>
          <w:fldChar w:fldCharType="separate"/>
        </w:r>
        <w:r w:rsidR="00ED3D7B">
          <w:rPr>
            <w:noProof/>
          </w:rPr>
          <w:t>2</w:t>
        </w:r>
        <w:r>
          <w:rPr>
            <w:noProof/>
          </w:rPr>
          <w:fldChar w:fldCharType="end"/>
        </w:r>
      </w:p>
    </w:sdtContent>
  </w:sdt>
  <w:p w:rsidR="00AA686B" w:rsidRDefault="00AA6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FEB" w:rsidRDefault="00693FEB" w:rsidP="00693FEB">
      <w:pPr>
        <w:spacing w:after="0" w:line="240" w:lineRule="auto"/>
      </w:pPr>
      <w:r>
        <w:separator/>
      </w:r>
    </w:p>
  </w:footnote>
  <w:footnote w:type="continuationSeparator" w:id="0">
    <w:p w:rsidR="00693FEB" w:rsidRDefault="00693FEB" w:rsidP="0069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D7B" w:rsidRPr="00372D8B" w:rsidRDefault="00ED3D7B" w:rsidP="00ED3D7B">
    <w:pPr>
      <w:tabs>
        <w:tab w:val="center" w:pos="4513"/>
        <w:tab w:val="right" w:pos="9026"/>
      </w:tabs>
      <w:spacing w:after="0" w:line="240" w:lineRule="auto"/>
      <w:jc w:val="center"/>
    </w:pPr>
    <w:r w:rsidRPr="00372D8B">
      <w:rPr>
        <w:noProof/>
        <w:lang w:eastAsia="en-GB"/>
      </w:rPr>
      <w:drawing>
        <wp:anchor distT="0" distB="0" distL="114300" distR="114300" simplePos="0" relativeHeight="251659264" behindDoc="1" locked="0" layoutInCell="1" allowOverlap="1" wp14:anchorId="4BE73EC3" wp14:editId="015FA9FE">
          <wp:simplePos x="0" y="0"/>
          <wp:positionH relativeFrom="column">
            <wp:posOffset>-215900</wp:posOffset>
          </wp:positionH>
          <wp:positionV relativeFrom="paragraph">
            <wp:posOffset>-240030</wp:posOffset>
          </wp:positionV>
          <wp:extent cx="532800" cy="655200"/>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A Logo, no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800" cy="655200"/>
                  </a:xfrm>
                  <a:prstGeom prst="rect">
                    <a:avLst/>
                  </a:prstGeom>
                </pic:spPr>
              </pic:pic>
            </a:graphicData>
          </a:graphic>
          <wp14:sizeRelH relativeFrom="margin">
            <wp14:pctWidth>0</wp14:pctWidth>
          </wp14:sizeRelH>
          <wp14:sizeRelV relativeFrom="margin">
            <wp14:pctHeight>0</wp14:pctHeight>
          </wp14:sizeRelV>
        </wp:anchor>
      </w:drawing>
    </w:r>
    <w:r w:rsidRPr="00372D8B">
      <w:t>Northamptonshire FA Coach Education</w:t>
    </w:r>
  </w:p>
  <w:p w:rsidR="00693FEB" w:rsidRDefault="00693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A6C"/>
    <w:multiLevelType w:val="hybridMultilevel"/>
    <w:tmpl w:val="9A9490E8"/>
    <w:lvl w:ilvl="0" w:tplc="19D46070">
      <w:start w:val="1"/>
      <w:numFmt w:val="bullet"/>
      <w:lvlText w:val=""/>
      <w:lvlJc w:val="left"/>
      <w:pPr>
        <w:tabs>
          <w:tab w:val="num" w:pos="397"/>
        </w:tabs>
        <w:ind w:left="397" w:hanging="397"/>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8523211"/>
    <w:multiLevelType w:val="hybridMultilevel"/>
    <w:tmpl w:val="913C4870"/>
    <w:lvl w:ilvl="0" w:tplc="56A08E82">
      <w:start w:val="1"/>
      <w:numFmt w:val="bullet"/>
      <w:lvlText w:val=""/>
      <w:lvlJc w:val="left"/>
      <w:pPr>
        <w:tabs>
          <w:tab w:val="num" w:pos="397"/>
        </w:tabs>
        <w:ind w:left="397" w:hanging="39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645E60"/>
    <w:multiLevelType w:val="hybridMultilevel"/>
    <w:tmpl w:val="CC1AC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F2756B7"/>
    <w:multiLevelType w:val="hybridMultilevel"/>
    <w:tmpl w:val="A908056E"/>
    <w:lvl w:ilvl="0" w:tplc="948C2594">
      <w:start w:val="1"/>
      <w:numFmt w:val="bullet"/>
      <w:lvlText w:val=""/>
      <w:lvlJc w:val="left"/>
      <w:pPr>
        <w:tabs>
          <w:tab w:val="num" w:pos="397"/>
        </w:tabs>
        <w:ind w:left="397" w:hanging="39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FEB"/>
    <w:rsid w:val="000C0C91"/>
    <w:rsid w:val="00110202"/>
    <w:rsid w:val="001F74AE"/>
    <w:rsid w:val="002F7930"/>
    <w:rsid w:val="0043305B"/>
    <w:rsid w:val="0048619E"/>
    <w:rsid w:val="005176CA"/>
    <w:rsid w:val="00535EBA"/>
    <w:rsid w:val="00552F37"/>
    <w:rsid w:val="005813CD"/>
    <w:rsid w:val="00605A36"/>
    <w:rsid w:val="00680F59"/>
    <w:rsid w:val="00691DD7"/>
    <w:rsid w:val="00693FEB"/>
    <w:rsid w:val="006A7839"/>
    <w:rsid w:val="00800E4E"/>
    <w:rsid w:val="00850429"/>
    <w:rsid w:val="008713D4"/>
    <w:rsid w:val="008A0F76"/>
    <w:rsid w:val="008D667E"/>
    <w:rsid w:val="00906854"/>
    <w:rsid w:val="00910B8A"/>
    <w:rsid w:val="00924483"/>
    <w:rsid w:val="00960B75"/>
    <w:rsid w:val="00AA686B"/>
    <w:rsid w:val="00AF7432"/>
    <w:rsid w:val="00BC074B"/>
    <w:rsid w:val="00BF0699"/>
    <w:rsid w:val="00C83D6C"/>
    <w:rsid w:val="00CA4B39"/>
    <w:rsid w:val="00D85522"/>
    <w:rsid w:val="00DA07C2"/>
    <w:rsid w:val="00DF6C9D"/>
    <w:rsid w:val="00EC6699"/>
    <w:rsid w:val="00ED3D7B"/>
    <w:rsid w:val="00F20A5C"/>
    <w:rsid w:val="00F70F67"/>
    <w:rsid w:val="00FA76A6"/>
    <w:rsid w:val="00FB76D5"/>
    <w:rsid w:val="00FC1A3D"/>
    <w:rsid w:val="00FE2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A6"/>
  </w:style>
  <w:style w:type="paragraph" w:styleId="Heading6">
    <w:name w:val="heading 6"/>
    <w:basedOn w:val="Normal"/>
    <w:next w:val="Normal"/>
    <w:link w:val="Heading6Char"/>
    <w:qFormat/>
    <w:rsid w:val="00BC074B"/>
    <w:pPr>
      <w:keepNext/>
      <w:spacing w:after="0" w:line="240" w:lineRule="auto"/>
      <w:jc w:val="both"/>
      <w:outlineLvl w:val="5"/>
    </w:pPr>
    <w:rPr>
      <w:rFonts w:ascii="Verdana" w:eastAsia="Times New Roman" w:hAnsi="Verdana" w:cs="Times New Roman"/>
      <w:bCs/>
      <w:color w:val="0000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FEB"/>
  </w:style>
  <w:style w:type="paragraph" w:styleId="Footer">
    <w:name w:val="footer"/>
    <w:basedOn w:val="Normal"/>
    <w:link w:val="FooterChar"/>
    <w:uiPriority w:val="99"/>
    <w:unhideWhenUsed/>
    <w:rsid w:val="00693F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FEB"/>
  </w:style>
  <w:style w:type="paragraph" w:styleId="ListParagraph">
    <w:name w:val="List Paragraph"/>
    <w:basedOn w:val="Normal"/>
    <w:uiPriority w:val="34"/>
    <w:qFormat/>
    <w:rsid w:val="00DF6C9D"/>
    <w:pPr>
      <w:ind w:left="720"/>
      <w:contextualSpacing/>
    </w:pPr>
  </w:style>
  <w:style w:type="table" w:styleId="TableGrid">
    <w:name w:val="Table Grid"/>
    <w:basedOn w:val="TableNormal"/>
    <w:uiPriority w:val="59"/>
    <w:rsid w:val="00906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70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70F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0F67"/>
    <w:rPr>
      <w:sz w:val="20"/>
      <w:szCs w:val="20"/>
    </w:rPr>
  </w:style>
  <w:style w:type="character" w:styleId="FootnoteReference">
    <w:name w:val="footnote reference"/>
    <w:basedOn w:val="DefaultParagraphFont"/>
    <w:uiPriority w:val="99"/>
    <w:semiHidden/>
    <w:unhideWhenUsed/>
    <w:rsid w:val="00F70F67"/>
    <w:rPr>
      <w:vertAlign w:val="superscript"/>
    </w:rPr>
  </w:style>
  <w:style w:type="character" w:customStyle="1" w:styleId="Heading6Char">
    <w:name w:val="Heading 6 Char"/>
    <w:basedOn w:val="DefaultParagraphFont"/>
    <w:link w:val="Heading6"/>
    <w:rsid w:val="00BC074B"/>
    <w:rPr>
      <w:rFonts w:ascii="Verdana" w:eastAsia="Times New Roman" w:hAnsi="Verdana" w:cs="Times New Roman"/>
      <w:bCs/>
      <w:color w:val="000080"/>
      <w:sz w:val="24"/>
      <w:szCs w:val="24"/>
    </w:rPr>
  </w:style>
  <w:style w:type="paragraph" w:styleId="BodyText3">
    <w:name w:val="Body Text 3"/>
    <w:basedOn w:val="Normal"/>
    <w:link w:val="BodyText3Char"/>
    <w:semiHidden/>
    <w:rsid w:val="00BC074B"/>
    <w:pPr>
      <w:spacing w:after="0" w:line="240" w:lineRule="auto"/>
    </w:pPr>
    <w:rPr>
      <w:rFonts w:ascii="Verdana" w:eastAsia="Times New Roman" w:hAnsi="Verdana" w:cs="Times New Roman"/>
      <w:color w:val="000080"/>
      <w:sz w:val="20"/>
      <w:szCs w:val="24"/>
    </w:rPr>
  </w:style>
  <w:style w:type="character" w:customStyle="1" w:styleId="BodyText3Char">
    <w:name w:val="Body Text 3 Char"/>
    <w:basedOn w:val="DefaultParagraphFont"/>
    <w:link w:val="BodyText3"/>
    <w:semiHidden/>
    <w:rsid w:val="00BC074B"/>
    <w:rPr>
      <w:rFonts w:ascii="Verdana" w:eastAsia="Times New Roman" w:hAnsi="Verdana" w:cs="Times New Roman"/>
      <w:color w:val="000080"/>
      <w:sz w:val="20"/>
      <w:szCs w:val="24"/>
    </w:rPr>
  </w:style>
  <w:style w:type="paragraph" w:styleId="BodyText">
    <w:name w:val="Body Text"/>
    <w:basedOn w:val="Normal"/>
    <w:link w:val="BodyTextChar"/>
    <w:semiHidden/>
    <w:rsid w:val="00BC074B"/>
    <w:pPr>
      <w:spacing w:after="0" w:line="240" w:lineRule="auto"/>
      <w:jc w:val="both"/>
    </w:pPr>
    <w:rPr>
      <w:rFonts w:ascii="Verdana" w:eastAsia="Times New Roman" w:hAnsi="Verdana" w:cs="Times New Roman"/>
      <w:color w:val="000080"/>
      <w:sz w:val="20"/>
      <w:szCs w:val="24"/>
      <w:lang w:val="x-none"/>
    </w:rPr>
  </w:style>
  <w:style w:type="character" w:customStyle="1" w:styleId="BodyTextChar">
    <w:name w:val="Body Text Char"/>
    <w:basedOn w:val="DefaultParagraphFont"/>
    <w:link w:val="BodyText"/>
    <w:semiHidden/>
    <w:rsid w:val="00BC074B"/>
    <w:rPr>
      <w:rFonts w:ascii="Verdana" w:eastAsia="Times New Roman" w:hAnsi="Verdana" w:cs="Times New Roman"/>
      <w:color w:val="000080"/>
      <w:sz w:val="20"/>
      <w:szCs w:val="24"/>
      <w:lang w:val="x-none"/>
    </w:rPr>
  </w:style>
  <w:style w:type="paragraph" w:styleId="TOC1">
    <w:name w:val="toc 1"/>
    <w:basedOn w:val="Normal"/>
    <w:next w:val="Normal"/>
    <w:autoRedefine/>
    <w:semiHidden/>
    <w:rsid w:val="00BC074B"/>
    <w:pPr>
      <w:spacing w:after="0" w:line="240" w:lineRule="auto"/>
      <w:jc w:val="both"/>
    </w:pPr>
    <w:rPr>
      <w:rFonts w:ascii="Verdana" w:eastAsia="Times New Roman" w:hAnsi="Verdana" w:cs="Times New Roman"/>
      <w:color w:val="000080"/>
      <w:sz w:val="16"/>
      <w:szCs w:val="24"/>
    </w:rPr>
  </w:style>
  <w:style w:type="paragraph" w:styleId="NoSpacing">
    <w:name w:val="No Spacing"/>
    <w:uiPriority w:val="1"/>
    <w:qFormat/>
    <w:rsid w:val="00BC074B"/>
    <w:pPr>
      <w:spacing w:after="0" w:line="240" w:lineRule="auto"/>
    </w:pPr>
    <w:rPr>
      <w:rFonts w:ascii="Verdana" w:eastAsia="Times New Roman" w:hAnsi="Verdana"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A6"/>
  </w:style>
  <w:style w:type="paragraph" w:styleId="Heading6">
    <w:name w:val="heading 6"/>
    <w:basedOn w:val="Normal"/>
    <w:next w:val="Normal"/>
    <w:link w:val="Heading6Char"/>
    <w:qFormat/>
    <w:rsid w:val="00BC074B"/>
    <w:pPr>
      <w:keepNext/>
      <w:spacing w:after="0" w:line="240" w:lineRule="auto"/>
      <w:jc w:val="both"/>
      <w:outlineLvl w:val="5"/>
    </w:pPr>
    <w:rPr>
      <w:rFonts w:ascii="Verdana" w:eastAsia="Times New Roman" w:hAnsi="Verdana" w:cs="Times New Roman"/>
      <w:bCs/>
      <w:color w:val="0000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FEB"/>
  </w:style>
  <w:style w:type="paragraph" w:styleId="Footer">
    <w:name w:val="footer"/>
    <w:basedOn w:val="Normal"/>
    <w:link w:val="FooterChar"/>
    <w:uiPriority w:val="99"/>
    <w:unhideWhenUsed/>
    <w:rsid w:val="00693F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FEB"/>
  </w:style>
  <w:style w:type="paragraph" w:styleId="ListParagraph">
    <w:name w:val="List Paragraph"/>
    <w:basedOn w:val="Normal"/>
    <w:uiPriority w:val="34"/>
    <w:qFormat/>
    <w:rsid w:val="00DF6C9D"/>
    <w:pPr>
      <w:ind w:left="720"/>
      <w:contextualSpacing/>
    </w:pPr>
  </w:style>
  <w:style w:type="table" w:styleId="TableGrid">
    <w:name w:val="Table Grid"/>
    <w:basedOn w:val="TableNormal"/>
    <w:uiPriority w:val="59"/>
    <w:rsid w:val="00906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70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70F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0F67"/>
    <w:rPr>
      <w:sz w:val="20"/>
      <w:szCs w:val="20"/>
    </w:rPr>
  </w:style>
  <w:style w:type="character" w:styleId="FootnoteReference">
    <w:name w:val="footnote reference"/>
    <w:basedOn w:val="DefaultParagraphFont"/>
    <w:uiPriority w:val="99"/>
    <w:semiHidden/>
    <w:unhideWhenUsed/>
    <w:rsid w:val="00F70F67"/>
    <w:rPr>
      <w:vertAlign w:val="superscript"/>
    </w:rPr>
  </w:style>
  <w:style w:type="character" w:customStyle="1" w:styleId="Heading6Char">
    <w:name w:val="Heading 6 Char"/>
    <w:basedOn w:val="DefaultParagraphFont"/>
    <w:link w:val="Heading6"/>
    <w:rsid w:val="00BC074B"/>
    <w:rPr>
      <w:rFonts w:ascii="Verdana" w:eastAsia="Times New Roman" w:hAnsi="Verdana" w:cs="Times New Roman"/>
      <w:bCs/>
      <w:color w:val="000080"/>
      <w:sz w:val="24"/>
      <w:szCs w:val="24"/>
    </w:rPr>
  </w:style>
  <w:style w:type="paragraph" w:styleId="BodyText3">
    <w:name w:val="Body Text 3"/>
    <w:basedOn w:val="Normal"/>
    <w:link w:val="BodyText3Char"/>
    <w:semiHidden/>
    <w:rsid w:val="00BC074B"/>
    <w:pPr>
      <w:spacing w:after="0" w:line="240" w:lineRule="auto"/>
    </w:pPr>
    <w:rPr>
      <w:rFonts w:ascii="Verdana" w:eastAsia="Times New Roman" w:hAnsi="Verdana" w:cs="Times New Roman"/>
      <w:color w:val="000080"/>
      <w:sz w:val="20"/>
      <w:szCs w:val="24"/>
    </w:rPr>
  </w:style>
  <w:style w:type="character" w:customStyle="1" w:styleId="BodyText3Char">
    <w:name w:val="Body Text 3 Char"/>
    <w:basedOn w:val="DefaultParagraphFont"/>
    <w:link w:val="BodyText3"/>
    <w:semiHidden/>
    <w:rsid w:val="00BC074B"/>
    <w:rPr>
      <w:rFonts w:ascii="Verdana" w:eastAsia="Times New Roman" w:hAnsi="Verdana" w:cs="Times New Roman"/>
      <w:color w:val="000080"/>
      <w:sz w:val="20"/>
      <w:szCs w:val="24"/>
    </w:rPr>
  </w:style>
  <w:style w:type="paragraph" w:styleId="BodyText">
    <w:name w:val="Body Text"/>
    <w:basedOn w:val="Normal"/>
    <w:link w:val="BodyTextChar"/>
    <w:semiHidden/>
    <w:rsid w:val="00BC074B"/>
    <w:pPr>
      <w:spacing w:after="0" w:line="240" w:lineRule="auto"/>
      <w:jc w:val="both"/>
    </w:pPr>
    <w:rPr>
      <w:rFonts w:ascii="Verdana" w:eastAsia="Times New Roman" w:hAnsi="Verdana" w:cs="Times New Roman"/>
      <w:color w:val="000080"/>
      <w:sz w:val="20"/>
      <w:szCs w:val="24"/>
      <w:lang w:val="x-none"/>
    </w:rPr>
  </w:style>
  <w:style w:type="character" w:customStyle="1" w:styleId="BodyTextChar">
    <w:name w:val="Body Text Char"/>
    <w:basedOn w:val="DefaultParagraphFont"/>
    <w:link w:val="BodyText"/>
    <w:semiHidden/>
    <w:rsid w:val="00BC074B"/>
    <w:rPr>
      <w:rFonts w:ascii="Verdana" w:eastAsia="Times New Roman" w:hAnsi="Verdana" w:cs="Times New Roman"/>
      <w:color w:val="000080"/>
      <w:sz w:val="20"/>
      <w:szCs w:val="24"/>
      <w:lang w:val="x-none"/>
    </w:rPr>
  </w:style>
  <w:style w:type="paragraph" w:styleId="TOC1">
    <w:name w:val="toc 1"/>
    <w:basedOn w:val="Normal"/>
    <w:next w:val="Normal"/>
    <w:autoRedefine/>
    <w:semiHidden/>
    <w:rsid w:val="00BC074B"/>
    <w:pPr>
      <w:spacing w:after="0" w:line="240" w:lineRule="auto"/>
      <w:jc w:val="both"/>
    </w:pPr>
    <w:rPr>
      <w:rFonts w:ascii="Verdana" w:eastAsia="Times New Roman" w:hAnsi="Verdana" w:cs="Times New Roman"/>
      <w:color w:val="000080"/>
      <w:sz w:val="16"/>
      <w:szCs w:val="24"/>
    </w:rPr>
  </w:style>
  <w:style w:type="paragraph" w:styleId="NoSpacing">
    <w:name w:val="No Spacing"/>
    <w:uiPriority w:val="1"/>
    <w:qFormat/>
    <w:rsid w:val="00BC074B"/>
    <w:pPr>
      <w:spacing w:after="0" w:line="240" w:lineRule="auto"/>
    </w:pPr>
    <w:rPr>
      <w:rFonts w:ascii="Verdana" w:eastAsia="Times New Roman" w:hAnsi="Verdan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22493">
      <w:bodyDiv w:val="1"/>
      <w:marLeft w:val="0"/>
      <w:marRight w:val="0"/>
      <w:marTop w:val="0"/>
      <w:marBottom w:val="0"/>
      <w:divBdr>
        <w:top w:val="none" w:sz="0" w:space="0" w:color="auto"/>
        <w:left w:val="none" w:sz="0" w:space="0" w:color="auto"/>
        <w:bottom w:val="none" w:sz="0" w:space="0" w:color="auto"/>
        <w:right w:val="none" w:sz="0" w:space="0" w:color="auto"/>
      </w:divBdr>
    </w:div>
    <w:div w:id="1362704038">
      <w:bodyDiv w:val="1"/>
      <w:marLeft w:val="0"/>
      <w:marRight w:val="0"/>
      <w:marTop w:val="0"/>
      <w:marBottom w:val="0"/>
      <w:divBdr>
        <w:top w:val="none" w:sz="0" w:space="0" w:color="auto"/>
        <w:left w:val="none" w:sz="0" w:space="0" w:color="auto"/>
        <w:bottom w:val="none" w:sz="0" w:space="0" w:color="auto"/>
        <w:right w:val="none" w:sz="0" w:space="0" w:color="auto"/>
      </w:divBdr>
    </w:div>
    <w:div w:id="196955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Martin</dc:creator>
  <cp:lastModifiedBy>Nick Abraham</cp:lastModifiedBy>
  <cp:revision>2</cp:revision>
  <dcterms:created xsi:type="dcterms:W3CDTF">2018-07-13T14:17:00Z</dcterms:created>
  <dcterms:modified xsi:type="dcterms:W3CDTF">2018-07-13T14:17:00Z</dcterms:modified>
</cp:coreProperties>
</file>