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58A" w:rsidRPr="00961AA5" w:rsidRDefault="00C1458A" w:rsidP="00C1458A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 xml:space="preserve">Job Description </w:t>
      </w:r>
      <w:r>
        <w:rPr>
          <w:rFonts w:ascii="FS Jack" w:hAnsi="FS Jack"/>
          <w:b/>
          <w:sz w:val="32"/>
          <w:szCs w:val="32"/>
        </w:rPr>
        <w:t>and</w:t>
      </w:r>
      <w:r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:rsidR="00C1458A" w:rsidRPr="00961AA5" w:rsidRDefault="00C1458A" w:rsidP="00C1458A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C1458A" w:rsidRPr="00F56BB7" w:rsidTr="00C1458A">
        <w:tc>
          <w:tcPr>
            <w:tcW w:w="5220" w:type="dxa"/>
            <w:shd w:val="clear" w:color="auto" w:fill="D9D9D9" w:themeFill="background1" w:themeFillShade="D9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5C0A87">
              <w:rPr>
                <w:rFonts w:cstheme="minorHAnsi"/>
                <w:bCs/>
                <w:lang w:eastAsia="en-GB"/>
              </w:rPr>
              <w:t>Emerging Talent Centre Coach</w:t>
            </w:r>
          </w:p>
        </w:tc>
      </w:tr>
      <w:tr w:rsidR="00C1458A" w:rsidRPr="00F56BB7" w:rsidTr="00C1458A">
        <w:tc>
          <w:tcPr>
            <w:tcW w:w="5220" w:type="dxa"/>
            <w:shd w:val="clear" w:color="auto" w:fill="D9D9D9" w:themeFill="background1" w:themeFillShade="D9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:rsidR="00C1458A" w:rsidRPr="00F56BB7" w:rsidRDefault="009940F3" w:rsidP="001B0265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Centre Manager </w:t>
            </w:r>
          </w:p>
        </w:tc>
      </w:tr>
    </w:tbl>
    <w:p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C1458A" w:rsidRPr="00F56BB7" w:rsidTr="00C1458A">
        <w:tc>
          <w:tcPr>
            <w:tcW w:w="10637" w:type="dxa"/>
            <w:gridSpan w:val="2"/>
            <w:shd w:val="clear" w:color="auto" w:fill="E0E0E0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p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urpose</w:t>
            </w:r>
            <w:r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C1458A" w:rsidRPr="00F56BB7" w:rsidTr="00C1458A">
        <w:tc>
          <w:tcPr>
            <w:tcW w:w="10637" w:type="dxa"/>
            <w:gridSpan w:val="2"/>
          </w:tcPr>
          <w:p w:rsidR="00C1458A" w:rsidRPr="00F56BB7" w:rsidRDefault="00C1458A" w:rsidP="00C145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To support the holistic development of high performing female players aged 13-16 in Kent. </w:t>
            </w:r>
          </w:p>
        </w:tc>
      </w:tr>
      <w:tr w:rsidR="00C1458A" w:rsidRPr="00F56BB7" w:rsidTr="00C1458A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:rsidR="00C1458A" w:rsidRPr="00F56BB7" w:rsidRDefault="008B213B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  <w:bookmarkStart w:id="0" w:name="_GoBack"/>
            <w:bookmarkEnd w:id="0"/>
            <w:r w:rsidR="007A2D80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</w:tbl>
    <w:p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C1458A" w:rsidRPr="00F56BB7" w:rsidTr="00C1458A">
        <w:tc>
          <w:tcPr>
            <w:tcW w:w="2615" w:type="dxa"/>
            <w:shd w:val="clear" w:color="auto" w:fill="D9D9D9" w:themeFill="background1" w:themeFillShade="D9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:rsidR="00C1458A" w:rsidRPr="00F56BB7" w:rsidRDefault="00FB2751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Aylesford FC, </w:t>
            </w:r>
            <w:proofErr w:type="spellStart"/>
            <w:r w:rsidRPr="00FB2751">
              <w:rPr>
                <w:color w:val="111111"/>
                <w:szCs w:val="24"/>
                <w:shd w:val="clear" w:color="auto" w:fill="FFFFFF"/>
              </w:rPr>
              <w:t>Forstal</w:t>
            </w:r>
            <w:proofErr w:type="spellEnd"/>
            <w:r w:rsidRPr="00FB2751">
              <w:rPr>
                <w:color w:val="111111"/>
                <w:szCs w:val="24"/>
                <w:shd w:val="clear" w:color="auto" w:fill="FFFFFF"/>
              </w:rPr>
              <w:t xml:space="preserve"> Road, Maidstone</w:t>
            </w:r>
            <w:r>
              <w:rPr>
                <w:color w:val="111111"/>
                <w:szCs w:val="24"/>
                <w:shd w:val="clear" w:color="auto" w:fill="FFFFFF"/>
              </w:rPr>
              <w:t>,</w:t>
            </w:r>
            <w:r w:rsidRPr="00FB2751">
              <w:rPr>
                <w:color w:val="111111"/>
                <w:szCs w:val="24"/>
                <w:shd w:val="clear" w:color="auto" w:fill="FFFFFF"/>
              </w:rPr>
              <w:t xml:space="preserve"> ME20 7AU</w:t>
            </w:r>
            <w:r>
              <w:rPr>
                <w:color w:val="111111"/>
                <w:szCs w:val="24"/>
                <w:shd w:val="clear" w:color="auto" w:fill="FFFFFF"/>
              </w:rPr>
              <w:t>. With some travel required.</w:t>
            </w:r>
          </w:p>
        </w:tc>
      </w:tr>
      <w:tr w:rsidR="00C1458A" w:rsidRPr="00F56BB7" w:rsidTr="00C1458A">
        <w:tc>
          <w:tcPr>
            <w:tcW w:w="2615" w:type="dxa"/>
            <w:shd w:val="clear" w:color="auto" w:fill="D9D9D9" w:themeFill="background1" w:themeFillShade="D9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Weekly sessions on </w:t>
            </w:r>
            <w:r w:rsidR="001219B1">
              <w:rPr>
                <w:rFonts w:cstheme="minorHAnsi"/>
                <w:color w:val="212121"/>
                <w:lang w:eastAsia="en-GB"/>
              </w:rPr>
              <w:t>Friday</w:t>
            </w:r>
            <w:r w:rsidRPr="005C0A87">
              <w:rPr>
                <w:rFonts w:cstheme="minorHAnsi"/>
                <w:color w:val="212121"/>
                <w:lang w:eastAsia="en-GB"/>
              </w:rPr>
              <w:t xml:space="preserve"> Evening </w:t>
            </w:r>
            <w:r w:rsidR="001219B1">
              <w:rPr>
                <w:rFonts w:cstheme="minorHAnsi"/>
                <w:color w:val="212121"/>
                <w:lang w:eastAsia="en-GB"/>
              </w:rPr>
              <w:t>6</w:t>
            </w:r>
            <w:r w:rsidRPr="005C0A87">
              <w:rPr>
                <w:rFonts w:cstheme="minorHAnsi"/>
                <w:color w:val="212121"/>
                <w:lang w:eastAsia="en-GB"/>
              </w:rPr>
              <w:t>-</w:t>
            </w:r>
            <w:r w:rsidR="001219B1">
              <w:rPr>
                <w:rFonts w:cstheme="minorHAnsi"/>
                <w:color w:val="212121"/>
                <w:lang w:eastAsia="en-GB"/>
              </w:rPr>
              <w:t>9</w:t>
            </w:r>
            <w:r w:rsidRPr="005C0A87">
              <w:rPr>
                <w:rFonts w:cstheme="minorHAnsi"/>
                <w:color w:val="212121"/>
                <w:lang w:eastAsia="en-GB"/>
              </w:rPr>
              <w:t xml:space="preserve">pm, </w:t>
            </w:r>
            <w:r>
              <w:rPr>
                <w:rFonts w:cstheme="minorHAnsi"/>
                <w:color w:val="212121"/>
                <w:lang w:eastAsia="en-GB"/>
              </w:rPr>
              <w:t xml:space="preserve">with the addition of training supplements and fixtures to be added to the delivery.  </w:t>
            </w:r>
          </w:p>
        </w:tc>
      </w:tr>
      <w:tr w:rsidR="00C1458A" w:rsidRPr="00F56BB7" w:rsidTr="00C1458A">
        <w:tc>
          <w:tcPr>
            <w:tcW w:w="2615" w:type="dxa"/>
            <w:shd w:val="clear" w:color="auto" w:fill="D9D9D9" w:themeFill="background1" w:themeFillShade="D9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:rsidR="00C1458A" w:rsidRDefault="00C1458A" w:rsidP="001B0265">
            <w:pPr>
              <w:spacing w:line="276" w:lineRule="auto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>Part-time, Fixed term contract until June 202</w:t>
            </w:r>
            <w:r w:rsidR="009B2492">
              <w:rPr>
                <w:rFonts w:cstheme="minorHAnsi"/>
                <w:color w:val="212121"/>
                <w:lang w:eastAsia="en-GB"/>
              </w:rPr>
              <w:t>4</w:t>
            </w:r>
            <w:r>
              <w:rPr>
                <w:rFonts w:cstheme="minorHAnsi"/>
                <w:color w:val="212121"/>
                <w:lang w:eastAsia="en-GB"/>
              </w:rPr>
              <w:t xml:space="preserve">. Minimum of 3 hours </w:t>
            </w:r>
            <w:r w:rsidR="00564C47">
              <w:rPr>
                <w:rFonts w:cstheme="minorHAnsi"/>
                <w:color w:val="212121"/>
                <w:lang w:eastAsia="en-GB"/>
              </w:rPr>
              <w:t>for 30</w:t>
            </w:r>
            <w:r>
              <w:rPr>
                <w:rFonts w:cstheme="minorHAnsi"/>
                <w:color w:val="212121"/>
                <w:lang w:eastAsia="en-GB"/>
              </w:rPr>
              <w:t xml:space="preserve"> week</w:t>
            </w:r>
            <w:r w:rsidR="00564C47">
              <w:rPr>
                <w:rFonts w:cstheme="minorHAnsi"/>
                <w:color w:val="212121"/>
                <w:lang w:eastAsia="en-GB"/>
              </w:rPr>
              <w:t>s</w:t>
            </w:r>
            <w:r>
              <w:rPr>
                <w:rFonts w:cstheme="minorHAnsi"/>
                <w:color w:val="212121"/>
                <w:lang w:eastAsia="en-GB"/>
              </w:rPr>
              <w:t xml:space="preserve">. </w:t>
            </w:r>
          </w:p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iCs/>
              </w:rPr>
              <w:t>£2</w:t>
            </w:r>
            <w:r w:rsidR="006E0345">
              <w:rPr>
                <w:iCs/>
              </w:rPr>
              <w:t xml:space="preserve">5 </w:t>
            </w:r>
            <w:r>
              <w:rPr>
                <w:iCs/>
              </w:rPr>
              <w:t xml:space="preserve">per hour. </w:t>
            </w:r>
          </w:p>
        </w:tc>
      </w:tr>
    </w:tbl>
    <w:p w:rsidR="00C1458A" w:rsidRPr="00F56BB7" w:rsidRDefault="00C1458A" w:rsidP="00C1458A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C1458A" w:rsidRPr="00F56BB7" w:rsidTr="00C1458A">
        <w:tc>
          <w:tcPr>
            <w:tcW w:w="10637" w:type="dxa"/>
            <w:shd w:val="clear" w:color="auto" w:fill="E0E0E0"/>
          </w:tcPr>
          <w:p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C1458A" w:rsidRPr="00F56BB7" w:rsidTr="00C1458A">
        <w:trPr>
          <w:trHeight w:val="4016"/>
        </w:trPr>
        <w:tc>
          <w:tcPr>
            <w:tcW w:w="10637" w:type="dxa"/>
          </w:tcPr>
          <w:p w:rsidR="00C1458A" w:rsidRPr="007A3FA5" w:rsidRDefault="00C1458A" w:rsidP="00C1458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F56BB7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212121"/>
                <w:lang w:eastAsia="en-GB"/>
              </w:rPr>
              <w:t>Creating and delivering session plans to p</w:t>
            </w:r>
            <w:r w:rsidRPr="001F1CB9">
              <w:rPr>
                <w:rFonts w:cstheme="minorHAnsi"/>
                <w:color w:val="212121"/>
                <w:lang w:eastAsia="en-GB"/>
              </w:rPr>
              <w:t>rovid</w:t>
            </w:r>
            <w:r>
              <w:rPr>
                <w:rFonts w:cstheme="minorHAnsi"/>
                <w:color w:val="212121"/>
                <w:lang w:eastAsia="en-GB"/>
              </w:rPr>
              <w:t>e</w:t>
            </w:r>
            <w:r w:rsidRPr="001F1CB9">
              <w:rPr>
                <w:rFonts w:cstheme="minorHAnsi"/>
                <w:color w:val="212121"/>
                <w:lang w:eastAsia="en-GB"/>
              </w:rPr>
              <w:t xml:space="preserve"> high quality coaching to girls playing in U1</w:t>
            </w:r>
            <w:r w:rsidR="009B2492">
              <w:rPr>
                <w:rFonts w:cstheme="minorHAnsi"/>
                <w:color w:val="212121"/>
                <w:lang w:eastAsia="en-GB"/>
              </w:rPr>
              <w:t>3</w:t>
            </w:r>
            <w:r w:rsidRPr="001F1CB9">
              <w:rPr>
                <w:rFonts w:cstheme="minorHAnsi"/>
                <w:color w:val="212121"/>
                <w:lang w:eastAsia="en-GB"/>
              </w:rPr>
              <w:t>-U16 age groups</w:t>
            </w:r>
            <w:r>
              <w:rPr>
                <w:rFonts w:cstheme="minorHAnsi"/>
                <w:color w:val="212121"/>
                <w:lang w:eastAsia="en-GB"/>
              </w:rPr>
              <w:t xml:space="preserve">, </w:t>
            </w:r>
            <w:r>
              <w:t>to attain the highest levels of performance possible in a safe, secure and supportive environment.</w:t>
            </w:r>
          </w:p>
          <w:p w:rsidR="00C1458A" w:rsidRPr="0022157C" w:rsidRDefault="00C1458A" w:rsidP="00C1458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Implementing training and games programme in line with the Kent FA ETC curriculum across the </w:t>
            </w:r>
            <w:proofErr w:type="gramStart"/>
            <w:r w:rsidRPr="0022157C">
              <w:rPr>
                <w:rFonts w:cstheme="minorHAnsi"/>
                <w:lang w:eastAsia="en-GB"/>
              </w:rPr>
              <w:t>30 week</w:t>
            </w:r>
            <w:proofErr w:type="gramEnd"/>
            <w:r w:rsidRPr="0022157C">
              <w:rPr>
                <w:rFonts w:cstheme="minorHAnsi"/>
                <w:lang w:eastAsia="en-GB"/>
              </w:rPr>
              <w:t xml:space="preserve"> programme. 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Liaise with head/support coach to produce session plans for all sessions.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Working alongside head/support coach to provide a challenging football environment to meet the needs of all players in your group. 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Ensure that the Kent FA philosophy and ethos </w:t>
            </w:r>
            <w:proofErr w:type="gramStart"/>
            <w:r w:rsidRPr="0022157C">
              <w:rPr>
                <w:rFonts w:cstheme="minorHAnsi"/>
                <w:lang w:eastAsia="en-GB"/>
              </w:rPr>
              <w:t>is followed at all times</w:t>
            </w:r>
            <w:proofErr w:type="gramEnd"/>
            <w:r w:rsidRPr="0022157C">
              <w:rPr>
                <w:rFonts w:cstheme="minorHAnsi"/>
                <w:lang w:eastAsia="en-GB"/>
              </w:rPr>
              <w:t>.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Ensure effective communication between all departments and stakeholders, including parents, is continuous throughout the season.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To adhere to the FA Safeguarding and equality policies and procedures.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To adhere to the FA and Kent FA ETC codes of conduct </w:t>
            </w:r>
            <w:proofErr w:type="gramStart"/>
            <w:r w:rsidRPr="0022157C">
              <w:rPr>
                <w:rFonts w:cstheme="minorHAnsi"/>
                <w:lang w:eastAsia="en-GB"/>
              </w:rPr>
              <w:t>at all times</w:t>
            </w:r>
            <w:proofErr w:type="gramEnd"/>
            <w:r w:rsidRPr="0022157C">
              <w:rPr>
                <w:rFonts w:cstheme="minorHAnsi"/>
                <w:lang w:eastAsia="en-GB"/>
              </w:rPr>
              <w:t>.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To adhere to the Kent FA ETC Data Protection Policy and Privacy Policy.</w:t>
            </w:r>
          </w:p>
          <w:p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To complete a player review sheet per block to monitor player development. </w:t>
            </w:r>
          </w:p>
          <w:p w:rsidR="00C1458A" w:rsidRPr="00181627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Successful candidates will receive access to ongoing support and relevant continued professional development (CPD) sessions through the county.  </w:t>
            </w:r>
          </w:p>
        </w:tc>
      </w:tr>
    </w:tbl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pPr w:leftFromText="180" w:rightFromText="180" w:horzAnchor="margin" w:tblpXSpec="center" w:tblpY="-330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C1458A" w:rsidRPr="00F56BB7" w:rsidTr="00C1458A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C1458A" w:rsidRPr="00F56BB7" w:rsidTr="00C1458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Qualifications</w:t>
            </w:r>
          </w:p>
        </w:tc>
      </w:tr>
      <w:tr w:rsidR="00C1458A" w:rsidRPr="00F56BB7" w:rsidTr="00C1458A">
        <w:trPr>
          <w:trHeight w:val="259"/>
        </w:trPr>
        <w:tc>
          <w:tcPr>
            <w:tcW w:w="5211" w:type="dxa"/>
            <w:shd w:val="clear" w:color="auto" w:fill="auto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:rsidR="00C1458A" w:rsidRPr="001F1CB9" w:rsidRDefault="00C1458A" w:rsidP="00C1458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FA coaching level 2 qualification</w:t>
            </w:r>
          </w:p>
          <w:p w:rsidR="00C1458A" w:rsidRPr="001F1CB9" w:rsidRDefault="00C1458A" w:rsidP="00C1458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Enhanced DBS Check</w:t>
            </w:r>
          </w:p>
          <w:p w:rsidR="00C1458A" w:rsidRPr="00181627" w:rsidRDefault="00C1458A" w:rsidP="00C1458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In date safeguarding and emergency first aid </w:t>
            </w:r>
            <w:r w:rsidRPr="001F1CB9">
              <w:rPr>
                <w:rFonts w:cstheme="minorHAnsi"/>
                <w:color w:val="212121"/>
                <w:lang w:eastAsia="en-GB"/>
              </w:rPr>
              <w:t>qualification</w:t>
            </w:r>
          </w:p>
        </w:tc>
        <w:tc>
          <w:tcPr>
            <w:tcW w:w="5426" w:type="dxa"/>
            <w:shd w:val="clear" w:color="auto" w:fill="auto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:rsidR="00C1458A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FA coaching level 3 / UEFA B qualification</w:t>
            </w:r>
          </w:p>
          <w:p w:rsidR="00C1458A" w:rsidRPr="001F1CB9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Youth awards </w:t>
            </w:r>
          </w:p>
          <w:p w:rsidR="00C1458A" w:rsidRPr="00B6453B" w:rsidRDefault="00C1458A" w:rsidP="00C1458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C1458A" w:rsidRPr="00F56BB7" w:rsidTr="00C1458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C1458A" w:rsidRPr="00F56BB7" w:rsidTr="00C1458A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:rsidR="00C1458A" w:rsidRPr="001F1CB9" w:rsidRDefault="00C1458A" w:rsidP="00C1458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Excellent communication both verbal and written</w:t>
            </w:r>
          </w:p>
          <w:p w:rsidR="00C1458A" w:rsidRDefault="00C1458A" w:rsidP="00C1458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Organised and able to </w:t>
            </w:r>
            <w:proofErr w:type="gramStart"/>
            <w:r>
              <w:rPr>
                <w:rFonts w:cstheme="minorHAnsi"/>
                <w:color w:val="212121"/>
                <w:lang w:eastAsia="en-GB"/>
              </w:rPr>
              <w:t>plan ahead</w:t>
            </w:r>
            <w:proofErr w:type="gramEnd"/>
            <w:r>
              <w:rPr>
                <w:rFonts w:cstheme="minorHAnsi"/>
                <w:color w:val="212121"/>
                <w:lang w:eastAsia="en-GB"/>
              </w:rPr>
              <w:t xml:space="preserve">. </w:t>
            </w:r>
          </w:p>
          <w:p w:rsidR="00C1458A" w:rsidRDefault="00C1458A" w:rsidP="00C1458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Enthusiastic and driven to supporting young players to be the best they can be. </w:t>
            </w:r>
          </w:p>
          <w:p w:rsidR="00C1458A" w:rsidRPr="0099178D" w:rsidRDefault="00C1458A" w:rsidP="00C1458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Style w:val="normaltextrun"/>
                <w:rFonts w:ascii="FS Jack" w:hAnsi="FS Jack"/>
                <w:sz w:val="22"/>
                <w:szCs w:val="22"/>
              </w:rPr>
            </w:pPr>
            <w:r>
              <w:rPr>
                <w:rFonts w:cstheme="minorHAnsi"/>
                <w:color w:val="212121"/>
              </w:rPr>
              <w:t xml:space="preserve">Punctual with good time management skills. </w:t>
            </w:r>
          </w:p>
        </w:tc>
        <w:tc>
          <w:tcPr>
            <w:tcW w:w="5426" w:type="dxa"/>
          </w:tcPr>
          <w:p w:rsidR="00C1458A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:rsidR="00C1458A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 xml:space="preserve">Experience of planning, delivering and evaluating </w:t>
            </w:r>
            <w:r>
              <w:rPr>
                <w:rFonts w:cstheme="minorHAnsi"/>
                <w:color w:val="212121"/>
                <w:lang w:eastAsia="en-GB"/>
              </w:rPr>
              <w:t>football sessions for secondary school aged players.</w:t>
            </w:r>
          </w:p>
          <w:p w:rsidR="00C1458A" w:rsidRPr="00B6453B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Reside within Kent for ease of access to the centre. </w:t>
            </w:r>
          </w:p>
          <w:p w:rsidR="00C1458A" w:rsidRPr="00F56BB7" w:rsidRDefault="00C1458A" w:rsidP="00C1458A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C1458A" w:rsidRPr="00F56BB7" w:rsidTr="00C1458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</w:t>
            </w:r>
            <w:r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xperience </w:t>
            </w:r>
          </w:p>
        </w:tc>
      </w:tr>
      <w:tr w:rsidR="00C1458A" w:rsidRPr="00F56BB7" w:rsidTr="00C1458A">
        <w:trPr>
          <w:trHeight w:val="1181"/>
        </w:trPr>
        <w:tc>
          <w:tcPr>
            <w:tcW w:w="5211" w:type="dxa"/>
            <w:tcBorders>
              <w:bottom w:val="single" w:sz="4" w:space="0" w:color="auto"/>
            </w:tcBorders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:rsidR="00C1458A" w:rsidRDefault="00C1458A" w:rsidP="00C1458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Experience working with children from a secondary school age range</w:t>
            </w:r>
            <w:r>
              <w:rPr>
                <w:rFonts w:cstheme="minorHAnsi"/>
                <w:color w:val="212121"/>
                <w:lang w:eastAsia="en-GB"/>
              </w:rPr>
              <w:t>.</w:t>
            </w:r>
          </w:p>
          <w:p w:rsidR="00C1458A" w:rsidRPr="00181627" w:rsidRDefault="00C1458A" w:rsidP="00C1458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Understanding of the Girls talent pathway. </w:t>
            </w:r>
          </w:p>
        </w:tc>
        <w:tc>
          <w:tcPr>
            <w:tcW w:w="5426" w:type="dxa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:rsidR="00C1458A" w:rsidRPr="00862724" w:rsidRDefault="00C1458A" w:rsidP="00C145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862724">
              <w:rPr>
                <w:bCs/>
                <w:sz w:val="22"/>
                <w:szCs w:val="22"/>
              </w:rPr>
              <w:t>Knowledge and understanding of working with volunteers.</w:t>
            </w:r>
          </w:p>
          <w:p w:rsidR="00C1458A" w:rsidRPr="001F1CB9" w:rsidRDefault="00C1458A" w:rsidP="00C1458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Understanding of the girl’s elite pathway. </w:t>
            </w:r>
          </w:p>
          <w:p w:rsidR="00C1458A" w:rsidRPr="00B6453B" w:rsidRDefault="00C1458A" w:rsidP="00C1458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Experience of elite female football or development centres</w:t>
            </w:r>
            <w:r>
              <w:rPr>
                <w:rFonts w:cstheme="minorHAnsi"/>
                <w:color w:val="212121"/>
                <w:lang w:eastAsia="en-GB"/>
              </w:rPr>
              <w:t>.</w:t>
            </w:r>
          </w:p>
        </w:tc>
      </w:tr>
      <w:tr w:rsidR="00C1458A" w:rsidRPr="00F56BB7" w:rsidTr="00C1458A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Enhanced DBS Check </w:t>
            </w:r>
            <w:r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equired</w:t>
            </w:r>
            <w:r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  <w:r w:rsidRPr="00F56BB7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C1458A" w:rsidRPr="00F56BB7" w:rsidTr="00C1458A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Clean</w:t>
            </w:r>
            <w:r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icence</w:t>
            </w:r>
            <w:r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:rsidR="00C1458A" w:rsidRPr="00F56BB7" w:rsidRDefault="00C1458A" w:rsidP="00C1458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C1458A" w:rsidRPr="009D5E16" w:rsidTr="00C1458A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C1458A" w:rsidRPr="009D5E16" w:rsidTr="00C1458A">
        <w:tc>
          <w:tcPr>
            <w:tcW w:w="2506" w:type="dxa"/>
            <w:shd w:val="clear" w:color="auto" w:fill="D9D9D9" w:themeFill="background1" w:themeFillShade="D9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1458A" w:rsidRPr="009D5E16" w:rsidTr="00C1458A">
        <w:tc>
          <w:tcPr>
            <w:tcW w:w="2506" w:type="dxa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:rsidR="00C1458A" w:rsidRPr="00DE2BCF" w:rsidRDefault="00C1458A" w:rsidP="00C1458A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:rsidR="00C1458A" w:rsidRPr="00B106F0" w:rsidRDefault="00C1458A" w:rsidP="00C1458A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1458A" w:rsidRPr="009D5E16" w:rsidTr="00C1458A">
        <w:tc>
          <w:tcPr>
            <w:tcW w:w="2506" w:type="dxa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:rsidR="00C1458A" w:rsidRPr="00B92F71" w:rsidRDefault="00C1458A" w:rsidP="00C1458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:rsidR="00C1458A" w:rsidRPr="00B92F71" w:rsidRDefault="00C1458A" w:rsidP="00C1458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:rsidR="00C1458A" w:rsidRPr="009D5E16" w:rsidRDefault="00C1458A" w:rsidP="00C1458A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C1458A" w:rsidRPr="009D5E16" w:rsidTr="00C1458A">
        <w:tc>
          <w:tcPr>
            <w:tcW w:w="2506" w:type="dxa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:rsidR="00C1458A" w:rsidRPr="00B92F71" w:rsidRDefault="00C1458A" w:rsidP="00C1458A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:rsidR="00C1458A" w:rsidRPr="00B92F71" w:rsidRDefault="00C1458A" w:rsidP="00C1458A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:rsidR="00C1458A" w:rsidRPr="009D5E16" w:rsidRDefault="00C1458A" w:rsidP="00C1458A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1458A" w:rsidRPr="009D5E16" w:rsidTr="00C1458A">
        <w:tc>
          <w:tcPr>
            <w:tcW w:w="2506" w:type="dxa"/>
          </w:tcPr>
          <w:p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</w:tcPr>
          <w:p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:rsidR="00C1458A" w:rsidRDefault="00C1458A" w:rsidP="00C1458A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:rsidR="00C1458A" w:rsidRPr="009D5E16" w:rsidRDefault="00C1458A" w:rsidP="00C1458A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 xml:space="preserve">Provide a </w:t>
            </w: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customer-focused approach that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ensure connectivity to the Kent Football community. </w:t>
            </w:r>
          </w:p>
        </w:tc>
      </w:tr>
      <w:tr w:rsidR="00C1458A" w:rsidRPr="009D5E16" w:rsidTr="00C1458A">
        <w:tc>
          <w:tcPr>
            <w:tcW w:w="2506" w:type="dxa"/>
          </w:tcPr>
          <w:p w:rsidR="00C1458A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>EXCELLENT</w:t>
            </w:r>
          </w:p>
        </w:tc>
        <w:tc>
          <w:tcPr>
            <w:tcW w:w="8121" w:type="dxa"/>
          </w:tcPr>
          <w:p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:rsidR="00C1458A" w:rsidRPr="00B92F71" w:rsidRDefault="00C1458A" w:rsidP="00C1458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:rsidR="00C1458A" w:rsidRPr="00B92F71" w:rsidRDefault="00C1458A" w:rsidP="00C1458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:rsidR="00C1458A" w:rsidRPr="0021443A" w:rsidRDefault="00C1458A" w:rsidP="00C1458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:rsidR="00C1458A" w:rsidRPr="002F7058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1458A" w:rsidRPr="002F7058" w:rsidTr="00C1458A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b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Rebecca Moore</w:t>
            </w:r>
          </w:p>
        </w:tc>
      </w:tr>
      <w:tr w:rsidR="00C1458A" w:rsidRPr="002F7058" w:rsidTr="00C1458A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:rsidR="00C1458A" w:rsidRPr="002F7058" w:rsidRDefault="009B2492" w:rsidP="001B0265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26</w:t>
            </w:r>
            <w:r w:rsidR="00C1458A">
              <w:rPr>
                <w:rFonts w:ascii="FS Jack" w:hAnsi="FS Jack"/>
                <w:iCs/>
                <w:sz w:val="22"/>
                <w:szCs w:val="22"/>
              </w:rPr>
              <w:t>/</w:t>
            </w:r>
            <w:r>
              <w:rPr>
                <w:rFonts w:ascii="FS Jack" w:hAnsi="FS Jack"/>
                <w:iCs/>
                <w:sz w:val="22"/>
                <w:szCs w:val="22"/>
              </w:rPr>
              <w:t>4</w:t>
            </w:r>
            <w:r w:rsidR="00C1458A">
              <w:rPr>
                <w:rFonts w:ascii="FS Jack" w:hAnsi="FS Jack"/>
                <w:iCs/>
                <w:sz w:val="22"/>
                <w:szCs w:val="22"/>
              </w:rPr>
              <w:t>/202</w:t>
            </w:r>
            <w:r>
              <w:rPr>
                <w:rFonts w:ascii="FS Jack" w:hAnsi="FS Jack"/>
                <w:iCs/>
                <w:sz w:val="22"/>
                <w:szCs w:val="22"/>
              </w:rPr>
              <w:t>3</w:t>
            </w:r>
          </w:p>
        </w:tc>
      </w:tr>
      <w:tr w:rsidR="00C1458A" w:rsidRPr="002F7058" w:rsidTr="00C1458A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2F7058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F7058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Darryl Haden </w:t>
            </w:r>
          </w:p>
        </w:tc>
      </w:tr>
    </w:tbl>
    <w:p w:rsidR="00C1458A" w:rsidRPr="002F7058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1458A" w:rsidRPr="002F7058" w:rsidTr="00C1458A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1458A" w:rsidRPr="002F7058" w:rsidTr="00C1458A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b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:rsidR="00C1458A" w:rsidRPr="00181627" w:rsidRDefault="00C1458A" w:rsidP="00C1458A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</w:p>
    <w:p w:rsidR="00C1458A" w:rsidRPr="00A20FCC" w:rsidRDefault="00C1458A" w:rsidP="00C1458A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  <w:r w:rsidRPr="00A20FCC">
        <w:rPr>
          <w:rFonts w:cstheme="minorHAnsi"/>
          <w:color w:val="212121"/>
          <w:lang w:eastAsia="en-GB"/>
        </w:rPr>
        <w:t xml:space="preserve">To apply for this role, please send your CV and covering letter, </w:t>
      </w:r>
      <w:r w:rsidRPr="00D62082">
        <w:rPr>
          <w:rFonts w:cstheme="minorHAnsi"/>
          <w:color w:val="212121"/>
          <w:lang w:eastAsia="en-GB"/>
        </w:rPr>
        <w:t>outlining why you would like to work within the ETC and why you would be the best candidate for the job,</w:t>
      </w:r>
      <w:r w:rsidRPr="00A20FCC">
        <w:rPr>
          <w:rFonts w:cstheme="minorHAnsi"/>
          <w:color w:val="212121"/>
          <w:lang w:eastAsia="en-GB"/>
        </w:rPr>
        <w:t xml:space="preserve"> by </w:t>
      </w:r>
      <w:r>
        <w:rPr>
          <w:rFonts w:cstheme="minorHAnsi"/>
          <w:color w:val="212121"/>
          <w:lang w:eastAsia="en-GB"/>
        </w:rPr>
        <w:t xml:space="preserve">email to </w:t>
      </w:r>
      <w:hyperlink r:id="rId7" w:history="1">
        <w:r w:rsidRPr="000E0168">
          <w:rPr>
            <w:rStyle w:val="Hyperlink"/>
            <w:rFonts w:cstheme="minorHAnsi"/>
            <w:lang w:eastAsia="en-GB"/>
          </w:rPr>
          <w:t>Rebecca.moore@kentfa.com</w:t>
        </w:r>
      </w:hyperlink>
      <w:r>
        <w:rPr>
          <w:rFonts w:cstheme="minorHAnsi"/>
          <w:color w:val="212121"/>
          <w:lang w:eastAsia="en-GB"/>
        </w:rPr>
        <w:t xml:space="preserve">. </w:t>
      </w:r>
    </w:p>
    <w:p w:rsidR="00B17803" w:rsidRDefault="00B17803" w:rsidP="00B17803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  <w:r>
        <w:rPr>
          <w:rFonts w:cstheme="minorHAnsi"/>
          <w:color w:val="212121"/>
          <w:lang w:eastAsia="en-GB"/>
        </w:rPr>
        <w:t>The closing date for receipt of applications is 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11pm on Sunday </w:t>
      </w:r>
      <w:r w:rsidR="002B5361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18</w:t>
      </w:r>
      <w:r w:rsidR="002B5361" w:rsidRPr="002B5361">
        <w:rPr>
          <w:rFonts w:cstheme="minorHAnsi"/>
          <w:b/>
          <w:bCs/>
          <w:color w:val="212121"/>
          <w:bdr w:val="none" w:sz="0" w:space="0" w:color="auto" w:frame="1"/>
          <w:vertAlign w:val="superscript"/>
          <w:lang w:eastAsia="en-GB"/>
        </w:rPr>
        <w:t>th</w:t>
      </w:r>
      <w:r w:rsidR="002B5361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June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2023. Interviews to take place Week commencing the </w:t>
      </w:r>
      <w:r w:rsidR="002B5361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26</w:t>
      </w:r>
      <w:r w:rsidRPr="0031063A">
        <w:rPr>
          <w:rFonts w:cstheme="minorHAnsi"/>
          <w:b/>
          <w:bCs/>
          <w:color w:val="212121"/>
          <w:bdr w:val="none" w:sz="0" w:space="0" w:color="auto" w:frame="1"/>
          <w:vertAlign w:val="superscript"/>
          <w:lang w:eastAsia="en-GB"/>
        </w:rPr>
        <w:t>th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June 2023. </w:t>
      </w: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Pr="002F7058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  <w:r w:rsidRPr="002F7058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:rsidR="00DC6818" w:rsidRDefault="00171C8E"/>
    <w:sectPr w:rsidR="00DC681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C8E" w:rsidRDefault="00171C8E" w:rsidP="007B1E96">
      <w:r>
        <w:separator/>
      </w:r>
    </w:p>
  </w:endnote>
  <w:endnote w:type="continuationSeparator" w:id="0">
    <w:p w:rsidR="00171C8E" w:rsidRDefault="00171C8E" w:rsidP="007B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C8E" w:rsidRDefault="00171C8E" w:rsidP="007B1E96">
      <w:r>
        <w:separator/>
      </w:r>
    </w:p>
  </w:footnote>
  <w:footnote w:type="continuationSeparator" w:id="0">
    <w:p w:rsidR="00171C8E" w:rsidRDefault="00171C8E" w:rsidP="007B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E96" w:rsidRDefault="007B1E96">
    <w:pPr>
      <w:pStyle w:val="Header"/>
    </w:pPr>
    <w:r>
      <w:rPr>
        <w:rFonts w:asciiTheme="minorHAnsi" w:hAnsiTheme="minorHAnsi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2E049624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438785" cy="542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34A"/>
    <w:multiLevelType w:val="multilevel"/>
    <w:tmpl w:val="F8D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511EA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F70F7"/>
    <w:multiLevelType w:val="hybridMultilevel"/>
    <w:tmpl w:val="1D36E1D0"/>
    <w:lvl w:ilvl="0" w:tplc="A1222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A6F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8A"/>
    <w:rsid w:val="001219B1"/>
    <w:rsid w:val="00171C8E"/>
    <w:rsid w:val="00222E0F"/>
    <w:rsid w:val="002B5361"/>
    <w:rsid w:val="0031312F"/>
    <w:rsid w:val="00505B46"/>
    <w:rsid w:val="00564C47"/>
    <w:rsid w:val="006E0345"/>
    <w:rsid w:val="007A2D80"/>
    <w:rsid w:val="007B1E96"/>
    <w:rsid w:val="008B213B"/>
    <w:rsid w:val="009940F3"/>
    <w:rsid w:val="009B2492"/>
    <w:rsid w:val="00B17803"/>
    <w:rsid w:val="00C010D3"/>
    <w:rsid w:val="00C1458A"/>
    <w:rsid w:val="00C95E85"/>
    <w:rsid w:val="00CD5E62"/>
    <w:rsid w:val="00D03A7F"/>
    <w:rsid w:val="00DD1615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0C025"/>
  <w15:chartTrackingRefBased/>
  <w15:docId w15:val="{E930F10F-3BE4-4278-8490-3CBC1B4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58A"/>
    <w:pPr>
      <w:ind w:left="720"/>
      <w:contextualSpacing/>
    </w:pPr>
  </w:style>
  <w:style w:type="table" w:styleId="TableGrid">
    <w:name w:val="Table Grid"/>
    <w:basedOn w:val="TableNormal"/>
    <w:uiPriority w:val="59"/>
    <w:rsid w:val="00C1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1458A"/>
  </w:style>
  <w:style w:type="paragraph" w:customStyle="1" w:styleId="paragraph">
    <w:name w:val="paragraph"/>
    <w:basedOn w:val="Normal"/>
    <w:rsid w:val="00C1458A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45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E9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E9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becca.moore@kent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Moore</dc:creator>
  <cp:keywords/>
  <dc:description/>
  <cp:lastModifiedBy>Rebecca Moore</cp:lastModifiedBy>
  <cp:revision>14</cp:revision>
  <dcterms:created xsi:type="dcterms:W3CDTF">2022-09-23T13:47:00Z</dcterms:created>
  <dcterms:modified xsi:type="dcterms:W3CDTF">2023-05-18T12:01:00Z</dcterms:modified>
</cp:coreProperties>
</file>