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text" w:horzAnchor="margin" w:tblpY="2511"/>
        <w:tblOverlap w:val="never"/>
        <w:tblW w:w="8385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2292"/>
        <w:gridCol w:w="50"/>
        <w:gridCol w:w="4483"/>
      </w:tblGrid>
      <w:tr w:rsidR="00A6271F" w:rsidRPr="005C1325" w14:paraId="2958A351" w14:textId="77777777" w:rsidTr="00986F1A">
        <w:tc>
          <w:tcPr>
            <w:tcW w:w="3852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898019" w14:textId="77777777" w:rsidR="00A6271F" w:rsidRDefault="00A6271F" w:rsidP="00986F1A">
            <w:pPr>
              <w:rPr>
                <w:b/>
                <w:bCs/>
              </w:rPr>
            </w:pPr>
            <w:r>
              <w:rPr>
                <w:b/>
                <w:bCs/>
              </w:rPr>
              <w:t>Jersey FA Nominations Committee</w:t>
            </w:r>
          </w:p>
          <w:p w14:paraId="5B0435FF" w14:textId="77777777" w:rsidR="00A6271F" w:rsidRPr="005C1325" w:rsidRDefault="00A6271F" w:rsidP="00986F1A">
            <w:r>
              <w:rPr>
                <w:b/>
                <w:bCs/>
              </w:rPr>
              <w:t>Terms of Reference</w:t>
            </w:r>
          </w:p>
        </w:tc>
        <w:tc>
          <w:tcPr>
            <w:tcW w:w="50" w:type="dxa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984C3B" w14:textId="77777777" w:rsidR="00A6271F" w:rsidRPr="005C1325" w:rsidRDefault="00A6271F" w:rsidP="00986F1A">
            <w:r w:rsidRPr="005C1325">
              <w:t> 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B1500C" w14:textId="77777777" w:rsidR="00A6271F" w:rsidRPr="005C1325" w:rsidRDefault="00A6271F" w:rsidP="00986F1A">
            <w:r w:rsidRPr="005C1325">
              <w:t> </w:t>
            </w:r>
          </w:p>
        </w:tc>
      </w:tr>
      <w:tr w:rsidR="00A6271F" w:rsidRPr="005C1325" w14:paraId="349B9259" w14:textId="77777777" w:rsidTr="00986F1A">
        <w:tc>
          <w:tcPr>
            <w:tcW w:w="3852" w:type="dxa"/>
            <w:gridSpan w:val="3"/>
            <w:tcBorders>
              <w:top w:val="single" w:sz="24" w:space="0" w:color="auto"/>
              <w:left w:val="nil"/>
              <w:bottom w:val="single" w:sz="6" w:space="0" w:color="BFBFB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7E34CA" w14:textId="77777777" w:rsidR="00A6271F" w:rsidRPr="005C1325" w:rsidRDefault="00A6271F" w:rsidP="00986F1A">
            <w:r w:rsidRPr="005C1325">
              <w:t>Index Code </w:t>
            </w:r>
          </w:p>
        </w:tc>
        <w:tc>
          <w:tcPr>
            <w:tcW w:w="50" w:type="dxa"/>
            <w:tcBorders>
              <w:top w:val="single" w:sz="24" w:space="0" w:color="auto"/>
              <w:left w:val="nil"/>
              <w:bottom w:val="single" w:sz="6" w:space="0" w:color="BFBFB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BC0579" w14:textId="77777777" w:rsidR="00A6271F" w:rsidRPr="005C1325" w:rsidRDefault="00A6271F" w:rsidP="00986F1A">
            <w:r w:rsidRPr="005C1325">
              <w:t> </w:t>
            </w:r>
          </w:p>
        </w:tc>
        <w:tc>
          <w:tcPr>
            <w:tcW w:w="4483" w:type="dxa"/>
            <w:tcBorders>
              <w:top w:val="single" w:sz="24" w:space="0" w:color="auto"/>
              <w:left w:val="nil"/>
              <w:bottom w:val="single" w:sz="6" w:space="0" w:color="BFBFB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2AAF80" w14:textId="77777777" w:rsidR="00A6271F" w:rsidRPr="005C1325" w:rsidRDefault="00A6271F" w:rsidP="00986F1A">
            <w:r>
              <w:t>NC 1</w:t>
            </w:r>
          </w:p>
        </w:tc>
      </w:tr>
      <w:tr w:rsidR="00A6271F" w:rsidRPr="005C1325" w14:paraId="51D92D72" w14:textId="77777777" w:rsidTr="00986F1A">
        <w:tc>
          <w:tcPr>
            <w:tcW w:w="385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4A39CC" w14:textId="77777777" w:rsidR="00A6271F" w:rsidRPr="005C1325" w:rsidRDefault="00A6271F" w:rsidP="00986F1A">
            <w:r w:rsidRPr="005C1325">
              <w:t>Author </w:t>
            </w:r>
          </w:p>
        </w:tc>
        <w:tc>
          <w:tcPr>
            <w:tcW w:w="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981C4D" w14:textId="77777777" w:rsidR="00A6271F" w:rsidRPr="005C1325" w:rsidRDefault="00A6271F" w:rsidP="00986F1A">
            <w:r w:rsidRPr="005C1325">
              <w:t> </w:t>
            </w:r>
          </w:p>
        </w:tc>
        <w:tc>
          <w:tcPr>
            <w:tcW w:w="4483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2A3F7" w14:textId="77777777" w:rsidR="00A6271F" w:rsidRPr="005C1325" w:rsidRDefault="00A6271F" w:rsidP="00986F1A">
            <w:r>
              <w:t>David Kennedy</w:t>
            </w:r>
          </w:p>
        </w:tc>
      </w:tr>
      <w:tr w:rsidR="00A6271F" w:rsidRPr="005C1325" w14:paraId="70F8769A" w14:textId="77777777" w:rsidTr="00986F1A">
        <w:tc>
          <w:tcPr>
            <w:tcW w:w="385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B14BDA" w14:textId="77777777" w:rsidR="00A6271F" w:rsidRPr="005C1325" w:rsidRDefault="00A6271F" w:rsidP="00986F1A">
            <w:r w:rsidRPr="005C1325">
              <w:t>Authorised By </w:t>
            </w:r>
          </w:p>
        </w:tc>
        <w:tc>
          <w:tcPr>
            <w:tcW w:w="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B7B115" w14:textId="77777777" w:rsidR="00A6271F" w:rsidRPr="005C1325" w:rsidRDefault="00A6271F" w:rsidP="00986F1A">
            <w:r w:rsidRPr="005C1325">
              <w:t> </w:t>
            </w:r>
          </w:p>
        </w:tc>
        <w:tc>
          <w:tcPr>
            <w:tcW w:w="4483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111FAA" w14:textId="77777777" w:rsidR="00A6271F" w:rsidRPr="005C1325" w:rsidRDefault="00A6271F" w:rsidP="00986F1A">
            <w:r>
              <w:t>JFA Board</w:t>
            </w:r>
          </w:p>
        </w:tc>
      </w:tr>
      <w:tr w:rsidR="00A6271F" w:rsidRPr="005C1325" w14:paraId="377E0017" w14:textId="77777777" w:rsidTr="00986F1A">
        <w:tc>
          <w:tcPr>
            <w:tcW w:w="385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EAD47B" w14:textId="77777777" w:rsidR="00A6271F" w:rsidRPr="005C1325" w:rsidRDefault="00A6271F" w:rsidP="00986F1A">
            <w:r w:rsidRPr="005C1325">
              <w:t>Issue Date </w:t>
            </w:r>
          </w:p>
        </w:tc>
        <w:tc>
          <w:tcPr>
            <w:tcW w:w="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E620C3" w14:textId="77777777" w:rsidR="00A6271F" w:rsidRPr="005C1325" w:rsidRDefault="00A6271F" w:rsidP="00986F1A">
            <w:r w:rsidRPr="005C1325">
              <w:t> </w:t>
            </w:r>
          </w:p>
        </w:tc>
        <w:tc>
          <w:tcPr>
            <w:tcW w:w="4483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83CDE2" w14:textId="77777777" w:rsidR="00A6271F" w:rsidRPr="005C1325" w:rsidRDefault="00A6271F" w:rsidP="00986F1A">
            <w:r>
              <w:t>March 2021</w:t>
            </w:r>
          </w:p>
        </w:tc>
      </w:tr>
      <w:tr w:rsidR="00A6271F" w:rsidRPr="005C1325" w14:paraId="010995D1" w14:textId="77777777" w:rsidTr="00986F1A">
        <w:tc>
          <w:tcPr>
            <w:tcW w:w="385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D6338A" w14:textId="77777777" w:rsidR="00A6271F" w:rsidRPr="005C1325" w:rsidRDefault="00A6271F" w:rsidP="00986F1A">
            <w:r w:rsidRPr="005C1325">
              <w:t>Review Date </w:t>
            </w:r>
          </w:p>
        </w:tc>
        <w:tc>
          <w:tcPr>
            <w:tcW w:w="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843662" w14:textId="77777777" w:rsidR="00A6271F" w:rsidRPr="005C1325" w:rsidRDefault="00A6271F" w:rsidP="00986F1A">
            <w:r w:rsidRPr="005C1325">
              <w:t> </w:t>
            </w:r>
          </w:p>
        </w:tc>
        <w:tc>
          <w:tcPr>
            <w:tcW w:w="4483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27342E" w14:textId="77777777" w:rsidR="00A6271F" w:rsidRPr="005C1325" w:rsidRDefault="00A6271F" w:rsidP="00986F1A">
            <w:r>
              <w:t>May</w:t>
            </w:r>
            <w:r w:rsidRPr="005C1325">
              <w:t xml:space="preserve"> 2022</w:t>
            </w:r>
          </w:p>
        </w:tc>
      </w:tr>
      <w:tr w:rsidR="00A6271F" w:rsidRPr="005C1325" w14:paraId="44A1864C" w14:textId="77777777" w:rsidTr="00986F1A">
        <w:tc>
          <w:tcPr>
            <w:tcW w:w="385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C522E1" w14:textId="77777777" w:rsidR="00A6271F" w:rsidRPr="005C1325" w:rsidRDefault="00A6271F" w:rsidP="00986F1A">
            <w:r w:rsidRPr="005C1325">
              <w:t>Last Review Date </w:t>
            </w:r>
          </w:p>
        </w:tc>
        <w:tc>
          <w:tcPr>
            <w:tcW w:w="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D7F52C" w14:textId="77777777" w:rsidR="00A6271F" w:rsidRPr="005C1325" w:rsidRDefault="00A6271F" w:rsidP="00986F1A">
            <w:r w:rsidRPr="005C1325">
              <w:t> </w:t>
            </w:r>
          </w:p>
        </w:tc>
        <w:tc>
          <w:tcPr>
            <w:tcW w:w="4483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E55959" w14:textId="77777777" w:rsidR="00A6271F" w:rsidRPr="005C1325" w:rsidRDefault="00A6271F" w:rsidP="00986F1A">
            <w:r w:rsidRPr="005C1325">
              <w:t>New Document </w:t>
            </w:r>
          </w:p>
        </w:tc>
      </w:tr>
      <w:tr w:rsidR="00A6271F" w:rsidRPr="005C1325" w14:paraId="63B35A27" w14:textId="77777777" w:rsidTr="00986F1A">
        <w:tc>
          <w:tcPr>
            <w:tcW w:w="3852" w:type="dxa"/>
            <w:gridSpan w:val="3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A9D8B8" w14:textId="77777777" w:rsidR="00A6271F" w:rsidRPr="005C1325" w:rsidRDefault="00A6271F" w:rsidP="00986F1A">
            <w:r w:rsidRPr="005C1325">
              <w:t>Changes </w:t>
            </w:r>
          </w:p>
        </w:tc>
        <w:tc>
          <w:tcPr>
            <w:tcW w:w="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EBCCC8" w14:textId="77777777" w:rsidR="00A6271F" w:rsidRPr="005C1325" w:rsidRDefault="00A6271F" w:rsidP="00986F1A">
            <w:r w:rsidRPr="005C1325">
              <w:t> </w:t>
            </w:r>
          </w:p>
        </w:tc>
        <w:tc>
          <w:tcPr>
            <w:tcW w:w="4483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1BE880" w14:textId="77777777" w:rsidR="00A6271F" w:rsidRPr="005C1325" w:rsidRDefault="00A6271F" w:rsidP="00986F1A">
            <w:r w:rsidRPr="005C1325">
              <w:t>- </w:t>
            </w:r>
          </w:p>
        </w:tc>
      </w:tr>
      <w:tr w:rsidR="00A6271F" w:rsidRPr="005C1325" w14:paraId="17D3764B" w14:textId="77777777" w:rsidTr="00986F1A">
        <w:tc>
          <w:tcPr>
            <w:tcW w:w="3852" w:type="dxa"/>
            <w:gridSpan w:val="3"/>
            <w:tcBorders>
              <w:top w:val="single" w:sz="6" w:space="0" w:color="BFBFBF"/>
              <w:left w:val="nil"/>
              <w:bottom w:val="single" w:sz="2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967A55" w14:textId="77777777" w:rsidR="00A6271F" w:rsidRDefault="00A6271F" w:rsidP="00986F1A">
            <w:pPr>
              <w:rPr>
                <w:b/>
                <w:bCs/>
              </w:rPr>
            </w:pPr>
          </w:p>
          <w:p w14:paraId="11E00BDD" w14:textId="77777777" w:rsidR="00A6271F" w:rsidRPr="005C1325" w:rsidRDefault="00A6271F" w:rsidP="00986F1A">
            <w:r w:rsidRPr="005C1325">
              <w:rPr>
                <w:b/>
                <w:bCs/>
              </w:rPr>
              <w:t xml:space="preserve"> Document Index</w:t>
            </w:r>
            <w:r w:rsidRPr="005C1325">
              <w:t> </w:t>
            </w:r>
          </w:p>
        </w:tc>
        <w:tc>
          <w:tcPr>
            <w:tcW w:w="50" w:type="dxa"/>
            <w:tcBorders>
              <w:top w:val="single" w:sz="6" w:space="0" w:color="BFBFBF"/>
              <w:left w:val="nil"/>
              <w:bottom w:val="single" w:sz="2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33CFDC" w14:textId="77777777" w:rsidR="00A6271F" w:rsidRPr="005C1325" w:rsidRDefault="00A6271F" w:rsidP="00986F1A">
            <w:r w:rsidRPr="005C1325">
              <w:t> </w:t>
            </w:r>
          </w:p>
        </w:tc>
        <w:tc>
          <w:tcPr>
            <w:tcW w:w="4483" w:type="dxa"/>
            <w:tcBorders>
              <w:top w:val="single" w:sz="6" w:space="0" w:color="BFBFBF"/>
              <w:left w:val="nil"/>
              <w:bottom w:val="single" w:sz="2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BA1C10" w14:textId="77777777" w:rsidR="00A6271F" w:rsidRPr="005C1325" w:rsidRDefault="00A6271F" w:rsidP="00986F1A">
            <w:r w:rsidRPr="005C1325">
              <w:t> </w:t>
            </w:r>
          </w:p>
        </w:tc>
      </w:tr>
      <w:tr w:rsidR="00A6271F" w:rsidRPr="005C1325" w14:paraId="452329A3" w14:textId="77777777" w:rsidTr="00986F1A">
        <w:tc>
          <w:tcPr>
            <w:tcW w:w="3852" w:type="dxa"/>
            <w:gridSpan w:val="3"/>
            <w:tcBorders>
              <w:top w:val="single" w:sz="2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6DE50D" w14:textId="77777777" w:rsidR="00A6271F" w:rsidRPr="005C1325" w:rsidRDefault="00A6271F" w:rsidP="00986F1A">
            <w:r w:rsidRPr="005C1325">
              <w:t> </w:t>
            </w:r>
          </w:p>
        </w:tc>
        <w:tc>
          <w:tcPr>
            <w:tcW w:w="50" w:type="dxa"/>
            <w:tcBorders>
              <w:top w:val="single" w:sz="2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F8FA57" w14:textId="77777777" w:rsidR="00A6271F" w:rsidRPr="005C1325" w:rsidRDefault="00A6271F" w:rsidP="00986F1A">
            <w:r w:rsidRPr="005C1325">
              <w:t> </w:t>
            </w:r>
          </w:p>
        </w:tc>
        <w:tc>
          <w:tcPr>
            <w:tcW w:w="4483" w:type="dxa"/>
            <w:tcBorders>
              <w:top w:val="single" w:sz="2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A8B48C" w14:textId="77777777" w:rsidR="00A6271F" w:rsidRPr="005C1325" w:rsidRDefault="00A6271F" w:rsidP="00986F1A">
            <w:r w:rsidRPr="005C1325">
              <w:t> </w:t>
            </w:r>
          </w:p>
        </w:tc>
      </w:tr>
      <w:tr w:rsidR="00A6271F" w:rsidRPr="005C1325" w14:paraId="60FA5E86" w14:textId="77777777" w:rsidTr="00986F1A"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0136B1" w14:textId="77777777" w:rsidR="00A6271F" w:rsidRPr="005C1325" w:rsidRDefault="00A6271F" w:rsidP="00986F1A">
            <w:r w:rsidRPr="005C1325">
              <w:t>1.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9C1464" w14:textId="77777777" w:rsidR="00A6271F" w:rsidRPr="005C1325" w:rsidRDefault="00A6271F" w:rsidP="00986F1A">
            <w:r w:rsidRPr="005C1325">
              <w:t> </w:t>
            </w:r>
          </w:p>
        </w:tc>
        <w:tc>
          <w:tcPr>
            <w:tcW w:w="68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C73657" w14:textId="77777777" w:rsidR="00A6271F" w:rsidRPr="005C1325" w:rsidRDefault="00A6271F" w:rsidP="00986F1A">
            <w:r>
              <w:t>Membership</w:t>
            </w:r>
          </w:p>
          <w:p w14:paraId="417C84AB" w14:textId="77777777" w:rsidR="00A6271F" w:rsidRPr="005C1325" w:rsidRDefault="00A6271F" w:rsidP="00986F1A"/>
        </w:tc>
      </w:tr>
      <w:tr w:rsidR="00A6271F" w:rsidRPr="005C1325" w14:paraId="0358CE50" w14:textId="77777777" w:rsidTr="00986F1A"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922AF" w14:textId="77777777" w:rsidR="00A6271F" w:rsidRPr="005C1325" w:rsidRDefault="00A6271F" w:rsidP="00986F1A">
            <w:r w:rsidRPr="005C1325">
              <w:t>2.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844B8B" w14:textId="77777777" w:rsidR="00A6271F" w:rsidRPr="005C1325" w:rsidRDefault="00A6271F" w:rsidP="00986F1A"/>
        </w:tc>
        <w:tc>
          <w:tcPr>
            <w:tcW w:w="68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307A2" w14:textId="77777777" w:rsidR="00A6271F" w:rsidRPr="005C1325" w:rsidRDefault="00A6271F" w:rsidP="00986F1A">
            <w:r>
              <w:t>Secretary</w:t>
            </w:r>
          </w:p>
        </w:tc>
      </w:tr>
      <w:tr w:rsidR="00A6271F" w:rsidRPr="005C1325" w14:paraId="65B16937" w14:textId="77777777" w:rsidTr="00986F1A"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F7B3A" w14:textId="77777777" w:rsidR="00A6271F" w:rsidRPr="005C1325" w:rsidRDefault="00A6271F" w:rsidP="00986F1A">
            <w:r w:rsidRPr="005C1325">
              <w:t>3.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72154" w14:textId="77777777" w:rsidR="00A6271F" w:rsidRPr="005C1325" w:rsidRDefault="00A6271F" w:rsidP="00986F1A"/>
        </w:tc>
        <w:tc>
          <w:tcPr>
            <w:tcW w:w="68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A69BBC" w14:textId="77777777" w:rsidR="00A6271F" w:rsidRPr="005C1325" w:rsidRDefault="00A6271F" w:rsidP="00986F1A">
            <w:r>
              <w:t>Quorum</w:t>
            </w:r>
          </w:p>
        </w:tc>
      </w:tr>
      <w:tr w:rsidR="00A6271F" w:rsidRPr="005C1325" w14:paraId="70E9AC5D" w14:textId="77777777" w:rsidTr="00986F1A"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E4ECD" w14:textId="77777777" w:rsidR="00A6271F" w:rsidRPr="005C1325" w:rsidRDefault="00A6271F" w:rsidP="00986F1A">
            <w:r w:rsidRPr="005C1325">
              <w:t>4.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1F6EC" w14:textId="77777777" w:rsidR="00A6271F" w:rsidRPr="005C1325" w:rsidRDefault="00A6271F" w:rsidP="00986F1A"/>
        </w:tc>
        <w:tc>
          <w:tcPr>
            <w:tcW w:w="68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A9D85" w14:textId="77777777" w:rsidR="00A6271F" w:rsidRPr="005C1325" w:rsidRDefault="00A6271F" w:rsidP="00986F1A">
            <w:r>
              <w:t>Frequency of meetings</w:t>
            </w:r>
          </w:p>
        </w:tc>
      </w:tr>
      <w:tr w:rsidR="00A6271F" w14:paraId="13288039" w14:textId="77777777" w:rsidTr="00986F1A"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65CB4" w14:textId="77777777" w:rsidR="00A6271F" w:rsidRPr="005C1325" w:rsidRDefault="00A6271F" w:rsidP="00986F1A">
            <w:r>
              <w:t>5.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F3509" w14:textId="77777777" w:rsidR="00A6271F" w:rsidRPr="005C1325" w:rsidRDefault="00A6271F" w:rsidP="00986F1A"/>
        </w:tc>
        <w:tc>
          <w:tcPr>
            <w:tcW w:w="68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29DB2" w14:textId="77777777" w:rsidR="00A6271F" w:rsidRDefault="00A6271F" w:rsidP="00986F1A">
            <w:r>
              <w:t>Notice of meetings</w:t>
            </w:r>
          </w:p>
        </w:tc>
      </w:tr>
      <w:tr w:rsidR="00A6271F" w14:paraId="16A2BEBE" w14:textId="77777777" w:rsidTr="00986F1A"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BB3EC" w14:textId="77777777" w:rsidR="00A6271F" w:rsidRDefault="00A6271F" w:rsidP="00986F1A">
            <w:r>
              <w:t>6.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21478" w14:textId="77777777" w:rsidR="00A6271F" w:rsidRPr="005C1325" w:rsidRDefault="00A6271F" w:rsidP="00986F1A"/>
        </w:tc>
        <w:tc>
          <w:tcPr>
            <w:tcW w:w="68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7E7C2" w14:textId="77777777" w:rsidR="00A6271F" w:rsidRDefault="00A6271F" w:rsidP="00986F1A">
            <w:r>
              <w:t>Minutes of meetings</w:t>
            </w:r>
          </w:p>
        </w:tc>
      </w:tr>
      <w:tr w:rsidR="00A6271F" w14:paraId="4C769DAB" w14:textId="77777777" w:rsidTr="00986F1A"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C3A83" w14:textId="77777777" w:rsidR="00A6271F" w:rsidRDefault="00A6271F" w:rsidP="00986F1A">
            <w:r>
              <w:t>7.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DBC56" w14:textId="77777777" w:rsidR="00A6271F" w:rsidRPr="005C1325" w:rsidRDefault="00A6271F" w:rsidP="00986F1A"/>
        </w:tc>
        <w:tc>
          <w:tcPr>
            <w:tcW w:w="68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EF5C1" w14:textId="77777777" w:rsidR="00A6271F" w:rsidRDefault="00A6271F" w:rsidP="00986F1A">
            <w:r>
              <w:t>Engagement with members</w:t>
            </w:r>
          </w:p>
        </w:tc>
      </w:tr>
      <w:tr w:rsidR="00A6271F" w14:paraId="4BAF1B53" w14:textId="77777777" w:rsidTr="00986F1A"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B7791" w14:textId="77777777" w:rsidR="00A6271F" w:rsidRDefault="00A6271F" w:rsidP="00986F1A">
            <w:r>
              <w:t>8.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6FCB2" w14:textId="77777777" w:rsidR="00A6271F" w:rsidRPr="005C1325" w:rsidRDefault="00A6271F" w:rsidP="00986F1A"/>
        </w:tc>
        <w:tc>
          <w:tcPr>
            <w:tcW w:w="68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91ECA" w14:textId="77777777" w:rsidR="00A6271F" w:rsidRDefault="00A6271F" w:rsidP="00986F1A">
            <w:r>
              <w:t>Duties</w:t>
            </w:r>
          </w:p>
        </w:tc>
      </w:tr>
      <w:tr w:rsidR="00A6271F" w14:paraId="1AE24F7F" w14:textId="77777777" w:rsidTr="00986F1A"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82761" w14:textId="77777777" w:rsidR="00A6271F" w:rsidRDefault="00A6271F" w:rsidP="00986F1A">
            <w:r>
              <w:t xml:space="preserve">9. 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B811E" w14:textId="77777777" w:rsidR="00A6271F" w:rsidRPr="005C1325" w:rsidRDefault="00A6271F" w:rsidP="00986F1A"/>
        </w:tc>
        <w:tc>
          <w:tcPr>
            <w:tcW w:w="682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51D50" w14:textId="77777777" w:rsidR="00A6271F" w:rsidRDefault="00A6271F" w:rsidP="00986F1A">
            <w:r>
              <w:t>Reporting responsibilities</w:t>
            </w:r>
          </w:p>
        </w:tc>
      </w:tr>
    </w:tbl>
    <w:p w14:paraId="77106EE9" w14:textId="77777777" w:rsidR="00A6271F" w:rsidRDefault="00A6271F" w:rsidP="00A6271F">
      <w:pPr>
        <w:jc w:val="center"/>
      </w:pPr>
      <w:r>
        <w:rPr>
          <w:noProof/>
        </w:rPr>
        <w:drawing>
          <wp:inline distT="0" distB="0" distL="0" distR="0" wp14:anchorId="3BEB79F4" wp14:editId="53B26686">
            <wp:extent cx="817245" cy="117030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7BCE30" w14:textId="77777777" w:rsidR="00A6271F" w:rsidRPr="00A6271F" w:rsidRDefault="00A6271F" w:rsidP="00A6271F"/>
    <w:p w14:paraId="44A1F6DB" w14:textId="77777777" w:rsidR="00A6271F" w:rsidRPr="00A6271F" w:rsidRDefault="00A6271F" w:rsidP="00A6271F"/>
    <w:p w14:paraId="14880D39" w14:textId="77777777" w:rsidR="00A6271F" w:rsidRPr="00A6271F" w:rsidRDefault="00A6271F" w:rsidP="00A6271F"/>
    <w:p w14:paraId="426FF922" w14:textId="77777777" w:rsidR="00A6271F" w:rsidRPr="00A6271F" w:rsidRDefault="00A6271F" w:rsidP="00A6271F"/>
    <w:p w14:paraId="5CB55462" w14:textId="77777777" w:rsidR="00A6271F" w:rsidRPr="00A6271F" w:rsidRDefault="00A6271F" w:rsidP="00A6271F"/>
    <w:p w14:paraId="337314EF" w14:textId="77777777" w:rsidR="00A6271F" w:rsidRPr="00A6271F" w:rsidRDefault="00A6271F" w:rsidP="00A6271F"/>
    <w:p w14:paraId="60F6ECCA" w14:textId="77777777" w:rsidR="00A6271F" w:rsidRPr="00A6271F" w:rsidRDefault="00A6271F" w:rsidP="00A6271F"/>
    <w:p w14:paraId="7BE6E4A9" w14:textId="77777777" w:rsidR="00A6271F" w:rsidRPr="00A6271F" w:rsidRDefault="00A6271F" w:rsidP="00A6271F"/>
    <w:p w14:paraId="63DF1B15" w14:textId="77777777" w:rsidR="00A6271F" w:rsidRPr="00A6271F" w:rsidRDefault="00A6271F" w:rsidP="00A6271F"/>
    <w:p w14:paraId="011EDFDB" w14:textId="77777777" w:rsidR="00A6271F" w:rsidRPr="00A6271F" w:rsidRDefault="00A6271F" w:rsidP="00A6271F"/>
    <w:p w14:paraId="187E8544" w14:textId="77777777" w:rsidR="00A6271F" w:rsidRPr="00A6271F" w:rsidRDefault="00A6271F" w:rsidP="00A6271F"/>
    <w:p w14:paraId="48CB37BA" w14:textId="77777777" w:rsidR="00A6271F" w:rsidRPr="00A6271F" w:rsidRDefault="00A6271F" w:rsidP="00A6271F"/>
    <w:p w14:paraId="3725BE7D" w14:textId="77777777" w:rsidR="00A6271F" w:rsidRPr="00A6271F" w:rsidRDefault="00A6271F" w:rsidP="00A6271F"/>
    <w:p w14:paraId="3E099063" w14:textId="77777777" w:rsidR="00A6271F" w:rsidRPr="00A6271F" w:rsidRDefault="00A6271F" w:rsidP="00A6271F"/>
    <w:p w14:paraId="0FF4EAAD" w14:textId="77777777" w:rsidR="00A6271F" w:rsidRPr="00A6271F" w:rsidRDefault="00A6271F" w:rsidP="00A6271F"/>
    <w:p w14:paraId="41DBB7FA" w14:textId="77777777" w:rsidR="00A6271F" w:rsidRPr="00A6271F" w:rsidRDefault="00A6271F" w:rsidP="00A6271F"/>
    <w:p w14:paraId="252DD673" w14:textId="77777777" w:rsidR="00A6271F" w:rsidRPr="00A6271F" w:rsidRDefault="00A6271F" w:rsidP="00A6271F"/>
    <w:p w14:paraId="6A88D171" w14:textId="77777777" w:rsidR="00A6271F" w:rsidRPr="00A6271F" w:rsidRDefault="00A6271F" w:rsidP="00A6271F"/>
    <w:p w14:paraId="1DD7C9D3" w14:textId="77777777" w:rsidR="00A6271F" w:rsidRPr="00A6271F" w:rsidRDefault="00A6271F" w:rsidP="00A6271F"/>
    <w:p w14:paraId="7A665B19" w14:textId="77777777" w:rsidR="00A6271F" w:rsidRPr="00A6271F" w:rsidRDefault="00A6271F" w:rsidP="00A6271F"/>
    <w:p w14:paraId="43C1B7CE" w14:textId="77777777" w:rsidR="00A6271F" w:rsidRPr="00A6271F" w:rsidRDefault="00A6271F" w:rsidP="00A6271F"/>
    <w:p w14:paraId="79B53F10" w14:textId="77777777" w:rsidR="00A6271F" w:rsidRPr="00A6271F" w:rsidRDefault="00A6271F" w:rsidP="00A6271F"/>
    <w:p w14:paraId="394131DD" w14:textId="77777777" w:rsidR="00A6271F" w:rsidRPr="00A6271F" w:rsidRDefault="00A6271F" w:rsidP="00A6271F"/>
    <w:p w14:paraId="1522B83D" w14:textId="77777777" w:rsidR="00A6271F" w:rsidRPr="00A6271F" w:rsidRDefault="00A6271F" w:rsidP="00A6271F"/>
    <w:p w14:paraId="7002C48A" w14:textId="77777777" w:rsidR="00A6271F" w:rsidRDefault="00A6271F" w:rsidP="00A6271F"/>
    <w:p w14:paraId="353ACDCE" w14:textId="77777777" w:rsidR="00A6271F" w:rsidRDefault="00A6271F" w:rsidP="00A6271F"/>
    <w:p w14:paraId="2BF6326D" w14:textId="77777777" w:rsidR="00A6271F" w:rsidRPr="00A6271F" w:rsidRDefault="00A6271F" w:rsidP="0006377B">
      <w:pPr>
        <w:rPr>
          <w:rFonts w:ascii="FrutigerLTStd-Light" w:hAnsi="FrutigerLTStd-Light" w:cs="FrutigerLTStd-Light"/>
          <w:b/>
          <w:color w:val="1D0E47"/>
          <w:sz w:val="24"/>
          <w:szCs w:val="24"/>
        </w:rPr>
      </w:pPr>
      <w:r w:rsidRPr="00A6271F">
        <w:rPr>
          <w:rFonts w:ascii="FrutigerLTStd-Light" w:hAnsi="FrutigerLTStd-Light" w:cs="FrutigerLTStd-Light"/>
          <w:b/>
          <w:color w:val="1D0E47"/>
          <w:sz w:val="24"/>
          <w:szCs w:val="24"/>
        </w:rPr>
        <w:lastRenderedPageBreak/>
        <w:t>1. Membership</w:t>
      </w:r>
    </w:p>
    <w:p w14:paraId="1EF94A3B" w14:textId="77777777" w:rsidR="00A6271F" w:rsidRPr="00D1721A" w:rsidRDefault="00A6271F" w:rsidP="0006377B">
      <w:pPr>
        <w:keepLines/>
        <w:spacing w:line="240" w:lineRule="auto"/>
        <w:jc w:val="both"/>
        <w:rPr>
          <w:rFonts w:ascii="FrutigerLTStd-Light" w:hAnsi="FrutigerLTStd-Light" w:cs="FrutigerLTStd-Light"/>
          <w:color w:val="1D0E47"/>
        </w:rPr>
      </w:pPr>
      <w:r w:rsidRPr="00782F98">
        <w:rPr>
          <w:rFonts w:ascii="FrutigerLTStd-Light" w:hAnsi="FrutigerLTStd-Light" w:cs="FrutigerLTStd-Light"/>
          <w:color w:val="1D0E47"/>
        </w:rPr>
        <w:t xml:space="preserve">1.1 The committee shall comprise at least three directors. </w:t>
      </w:r>
      <w:proofErr w:type="gramStart"/>
      <w:r w:rsidRPr="00782F98">
        <w:rPr>
          <w:rFonts w:ascii="FrutigerLTStd-Light" w:hAnsi="FrutigerLTStd-Light" w:cs="FrutigerLTStd-Light"/>
          <w:color w:val="1D0E47"/>
        </w:rPr>
        <w:t>A majority of</w:t>
      </w:r>
      <w:proofErr w:type="gramEnd"/>
      <w:r w:rsidRPr="00782F98">
        <w:rPr>
          <w:rFonts w:ascii="FrutigerLTStd-Light" w:hAnsi="FrutigerLTStd-Light" w:cs="FrutigerLTStd-Light"/>
          <w:color w:val="1D0E47"/>
        </w:rPr>
        <w:t xml:space="preserve"> the members of</w:t>
      </w:r>
      <w:r w:rsidRPr="00D1721A">
        <w:rPr>
          <w:rFonts w:ascii="FrutigerLTStd-Light" w:hAnsi="FrutigerLTStd-Light" w:cs="FrutigerLTStd-Light"/>
          <w:color w:val="1D0E47"/>
        </w:rPr>
        <w:t xml:space="preserve"> the committee shall be independent non-executive directors.</w:t>
      </w:r>
    </w:p>
    <w:p w14:paraId="28639459" w14:textId="14A1699F" w:rsidR="005926A7" w:rsidRDefault="00A6271F" w:rsidP="0006377B">
      <w:pPr>
        <w:autoSpaceDE w:val="0"/>
        <w:autoSpaceDN w:val="0"/>
        <w:adjustRightInd w:val="0"/>
        <w:spacing w:after="0" w:line="240" w:lineRule="auto"/>
        <w:jc w:val="both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1.2 Appointments to the committee are made by the board on the recommendation of</w:t>
      </w:r>
      <w:r w:rsidR="005926A7" w:rsidRPr="005926A7">
        <w:rPr>
          <w:rFonts w:ascii="FrutigerLTStd-Light" w:hAnsi="FrutigerLTStd-Light" w:cs="FrutigerLTStd-Light"/>
          <w:color w:val="1D0E47"/>
        </w:rPr>
        <w:t xml:space="preserve"> </w:t>
      </w:r>
      <w:r w:rsidR="005926A7" w:rsidRPr="005926A7">
        <w:rPr>
          <w:rFonts w:ascii="FrutigerLTStd-Light" w:hAnsi="FrutigerLTStd-Light" w:cs="FrutigerLTStd-Light"/>
          <w:color w:val="1D0E47"/>
        </w:rPr>
        <w:t>the nomination committee and shall be for a period of up to three years, which may be</w:t>
      </w:r>
      <w:r w:rsidR="005926A7" w:rsidRPr="005926A7">
        <w:rPr>
          <w:rFonts w:ascii="FrutigerLTStd-Light" w:hAnsi="FrutigerLTStd-Light" w:cs="FrutigerLTStd-Light"/>
          <w:color w:val="1D0E47"/>
        </w:rPr>
        <w:t xml:space="preserve"> </w:t>
      </w:r>
      <w:r w:rsidR="005926A7" w:rsidRPr="005926A7">
        <w:rPr>
          <w:rFonts w:ascii="FrutigerLTStd-Light" w:hAnsi="FrutigerLTStd-Light" w:cs="FrutigerLTStd-Light"/>
          <w:color w:val="1D0E47"/>
        </w:rPr>
        <w:t>extended for up to two additional three-year periods, provided the director still meets the</w:t>
      </w:r>
      <w:r w:rsidR="005926A7" w:rsidRPr="005926A7">
        <w:rPr>
          <w:rFonts w:ascii="FrutigerLTStd-Light" w:hAnsi="FrutigerLTStd-Light" w:cs="FrutigerLTStd-Light"/>
          <w:color w:val="1D0E47"/>
        </w:rPr>
        <w:t xml:space="preserve"> </w:t>
      </w:r>
      <w:r w:rsidR="005926A7" w:rsidRPr="005926A7">
        <w:rPr>
          <w:rFonts w:ascii="FrutigerLTStd-Light" w:hAnsi="FrutigerLTStd-Light" w:cs="FrutigerLTStd-Light"/>
          <w:color w:val="1D0E47"/>
        </w:rPr>
        <w:t>criteria for membership of the committee.</w:t>
      </w:r>
    </w:p>
    <w:p w14:paraId="0F5DAAD1" w14:textId="77777777" w:rsidR="0006377B" w:rsidRPr="005926A7" w:rsidRDefault="0006377B" w:rsidP="0006377B">
      <w:pPr>
        <w:autoSpaceDE w:val="0"/>
        <w:autoSpaceDN w:val="0"/>
        <w:adjustRightInd w:val="0"/>
        <w:spacing w:after="0" w:line="240" w:lineRule="auto"/>
        <w:jc w:val="both"/>
        <w:rPr>
          <w:rFonts w:ascii="FrutigerLTStd-Light" w:hAnsi="FrutigerLTStd-Light" w:cs="FrutigerLTStd-Light"/>
          <w:color w:val="1D0E47"/>
        </w:rPr>
      </w:pPr>
    </w:p>
    <w:p w14:paraId="6CB6D820" w14:textId="1C82A49F" w:rsidR="00904FDE" w:rsidRDefault="00A6271F" w:rsidP="0006377B">
      <w:pPr>
        <w:autoSpaceDE w:val="0"/>
        <w:autoSpaceDN w:val="0"/>
        <w:adjustRightInd w:val="0"/>
        <w:spacing w:after="0" w:line="240" w:lineRule="auto"/>
        <w:jc w:val="both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1.3 Only members of the committee have the right to attend committee meetings.</w:t>
      </w:r>
      <w:r w:rsidR="00904FDE" w:rsidRPr="00904FDE">
        <w:rPr>
          <w:rFonts w:ascii="FrutigerLTStd-Light" w:hAnsi="FrutigerLTStd-Light" w:cs="FrutigerLTStd-Light"/>
          <w:color w:val="1D0E47"/>
        </w:rPr>
        <w:t xml:space="preserve"> </w:t>
      </w:r>
      <w:r w:rsidR="00904FDE" w:rsidRPr="00904FDE">
        <w:rPr>
          <w:rFonts w:ascii="FrutigerLTStd-Light" w:hAnsi="FrutigerLTStd-Light" w:cs="FrutigerLTStd-Light"/>
          <w:color w:val="1D0E47"/>
        </w:rPr>
        <w:t>However, other individuals such as the chief executive and external advisers may be invited to attend for all or part of any meeting, as and when</w:t>
      </w:r>
      <w:r w:rsidR="00904FDE" w:rsidRPr="00904FDE">
        <w:rPr>
          <w:rFonts w:ascii="FrutigerLTStd-Light" w:hAnsi="FrutigerLTStd-Light" w:cs="FrutigerLTStd-Light"/>
          <w:color w:val="1D0E47"/>
        </w:rPr>
        <w:t xml:space="preserve"> </w:t>
      </w:r>
      <w:r w:rsidR="00904FDE" w:rsidRPr="00904FDE">
        <w:rPr>
          <w:rFonts w:ascii="FrutigerLTStd-Light" w:hAnsi="FrutigerLTStd-Light" w:cs="FrutigerLTStd-Light"/>
          <w:color w:val="1D0E47"/>
        </w:rPr>
        <w:t>appropriate.</w:t>
      </w:r>
    </w:p>
    <w:p w14:paraId="5AF21877" w14:textId="77777777" w:rsidR="0006377B" w:rsidRPr="00904FDE" w:rsidRDefault="0006377B" w:rsidP="0006377B">
      <w:pPr>
        <w:autoSpaceDE w:val="0"/>
        <w:autoSpaceDN w:val="0"/>
        <w:adjustRightInd w:val="0"/>
        <w:spacing w:after="0" w:line="240" w:lineRule="auto"/>
        <w:jc w:val="both"/>
        <w:rPr>
          <w:rFonts w:ascii="FrutigerLTStd-Light" w:hAnsi="FrutigerLTStd-Light" w:cs="FrutigerLTStd-Light"/>
          <w:color w:val="1D0E47"/>
        </w:rPr>
      </w:pPr>
    </w:p>
    <w:p w14:paraId="59B120C4" w14:textId="10703E42" w:rsidR="00E6736A" w:rsidRPr="00E6736A" w:rsidRDefault="00A6271F" w:rsidP="0006377B">
      <w:pPr>
        <w:autoSpaceDE w:val="0"/>
        <w:autoSpaceDN w:val="0"/>
        <w:adjustRightInd w:val="0"/>
        <w:spacing w:after="0" w:line="240" w:lineRule="auto"/>
        <w:jc w:val="both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1.4 The board shall appoint the committee chair who</w:t>
      </w:r>
      <w:r w:rsidR="009C4462">
        <w:rPr>
          <w:rFonts w:ascii="FrutigerLTStd-Light" w:hAnsi="FrutigerLTStd-Light" w:cs="FrutigerLTStd-Light"/>
          <w:color w:val="1D0E47"/>
        </w:rPr>
        <w:t xml:space="preserve"> will be independent and </w:t>
      </w:r>
      <w:r>
        <w:rPr>
          <w:rFonts w:ascii="FrutigerLTStd-Light" w:hAnsi="FrutigerLTStd-Light" w:cs="FrutigerLTStd-Light"/>
          <w:color w:val="1D0E47"/>
        </w:rPr>
        <w:t>should be either the chair of the</w:t>
      </w:r>
      <w:r w:rsidR="009050D4">
        <w:rPr>
          <w:rFonts w:ascii="FrutigerLTStd-Light" w:hAnsi="FrutigerLTStd-Light" w:cs="FrutigerLTStd-Light"/>
          <w:color w:val="1D0E47"/>
        </w:rPr>
        <w:t xml:space="preserve"> </w:t>
      </w:r>
      <w:r>
        <w:rPr>
          <w:rFonts w:ascii="FrutigerLTStd-Light" w:hAnsi="FrutigerLTStd-Light" w:cs="FrutigerLTStd-Light"/>
          <w:color w:val="1D0E47"/>
        </w:rPr>
        <w:t>board or an independent non-executive director. In the absence of the committee chair</w:t>
      </w:r>
      <w:r w:rsidR="00904FDE" w:rsidRPr="00904FDE">
        <w:rPr>
          <w:rFonts w:ascii="FrutigerLTStd-Light" w:hAnsi="FrutigerLTStd-Light" w:cs="FrutigerLTStd-Light"/>
          <w:color w:val="1D0E47"/>
        </w:rPr>
        <w:t xml:space="preserve"> </w:t>
      </w:r>
      <w:r w:rsidR="00904FDE" w:rsidRPr="00904FDE">
        <w:rPr>
          <w:rFonts w:ascii="FrutigerLTStd-Light" w:hAnsi="FrutigerLTStd-Light" w:cs="FrutigerLTStd-Light"/>
          <w:color w:val="1D0E47"/>
        </w:rPr>
        <w:t>and/or an appointed deputy, the remaining members present shall elect one of themselves</w:t>
      </w:r>
      <w:r w:rsidR="00E6736A" w:rsidRPr="00E6736A">
        <w:rPr>
          <w:rFonts w:ascii="FrutigerLTStd-Light" w:hAnsi="FrutigerLTStd-Light" w:cs="FrutigerLTStd-Light"/>
          <w:color w:val="1D0E47"/>
        </w:rPr>
        <w:t xml:space="preserve"> </w:t>
      </w:r>
      <w:r w:rsidR="00E6736A" w:rsidRPr="00E6736A">
        <w:rPr>
          <w:rFonts w:ascii="FrutigerLTStd-Light" w:hAnsi="FrutigerLTStd-Light" w:cs="FrutigerLTStd-Light"/>
          <w:color w:val="1D0E47"/>
        </w:rPr>
        <w:t>to chair the meeting from those who would qualify under these terms of reference to</w:t>
      </w:r>
      <w:r w:rsidR="00E6736A" w:rsidRPr="00E6736A">
        <w:rPr>
          <w:rFonts w:ascii="FrutigerLTStd-Light" w:hAnsi="FrutigerLTStd-Light" w:cs="FrutigerLTStd-Light"/>
          <w:color w:val="1D0E47"/>
        </w:rPr>
        <w:t xml:space="preserve"> </w:t>
      </w:r>
      <w:r w:rsidR="00E6736A" w:rsidRPr="00E6736A">
        <w:rPr>
          <w:rFonts w:ascii="FrutigerLTStd-Light" w:hAnsi="FrutigerLTStd-Light" w:cs="FrutigerLTStd-Light"/>
          <w:color w:val="1D0E47"/>
        </w:rPr>
        <w:t>be appointed to that position by the board. The chair of the board shall not chair the</w:t>
      </w:r>
      <w:r w:rsidR="00E6736A" w:rsidRPr="00E6736A">
        <w:t xml:space="preserve"> </w:t>
      </w:r>
      <w:r w:rsidR="00E6736A" w:rsidRPr="00E6736A">
        <w:rPr>
          <w:rFonts w:ascii="FrutigerLTStd-Light" w:hAnsi="FrutigerLTStd-Light" w:cs="FrutigerLTStd-Light"/>
          <w:color w:val="1D0E47"/>
        </w:rPr>
        <w:t>committee when it is dealing with the matter of succession of the chair of the board.</w:t>
      </w:r>
    </w:p>
    <w:p w14:paraId="2D36B6B9" w14:textId="77777777" w:rsidR="00A6271F" w:rsidRDefault="00A6271F" w:rsidP="00A6271F">
      <w:pPr>
        <w:keepLines/>
        <w:spacing w:line="240" w:lineRule="auto"/>
        <w:rPr>
          <w:rFonts w:ascii="FrutigerLTStd-Light" w:hAnsi="FrutigerLTStd-Light" w:cs="FrutigerLTStd-Light"/>
          <w:color w:val="1D0E47"/>
        </w:rPr>
      </w:pPr>
    </w:p>
    <w:p w14:paraId="270C9C4B" w14:textId="77777777" w:rsidR="00A6271F" w:rsidRP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Bold" w:hAnsi="FrutigerLTStd-Bold" w:cs="FrutigerLTStd-Bold"/>
          <w:b/>
          <w:bCs/>
          <w:color w:val="1D0E47"/>
          <w:sz w:val="24"/>
          <w:szCs w:val="24"/>
        </w:rPr>
      </w:pPr>
      <w:r w:rsidRPr="00A6271F">
        <w:rPr>
          <w:rFonts w:ascii="FrutigerLTStd-Bold" w:hAnsi="FrutigerLTStd-Bold" w:cs="FrutigerLTStd-Bold"/>
          <w:b/>
          <w:bCs/>
          <w:color w:val="1D0E47"/>
          <w:sz w:val="24"/>
          <w:szCs w:val="24"/>
        </w:rPr>
        <w:t>2. Secretary</w:t>
      </w:r>
    </w:p>
    <w:p w14:paraId="29D4AEDB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jc w:val="both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The association secretary, or their nominee, shall act as the secretary of the committee and</w:t>
      </w:r>
    </w:p>
    <w:p w14:paraId="5F44D795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jc w:val="both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will ensure that the committee receives information and papers in a timely manner to</w:t>
      </w:r>
    </w:p>
    <w:p w14:paraId="6F0F48AA" w14:textId="77777777" w:rsidR="00A6271F" w:rsidRDefault="00A6271F" w:rsidP="00A6271F">
      <w:pPr>
        <w:keepLines/>
        <w:spacing w:line="240" w:lineRule="auto"/>
        <w:jc w:val="both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enable full and proper consideration to be given to issues.</w:t>
      </w:r>
    </w:p>
    <w:p w14:paraId="3863A449" w14:textId="77777777" w:rsidR="009C46A0" w:rsidRDefault="009C46A0" w:rsidP="00A6271F">
      <w:pPr>
        <w:keepLines/>
        <w:spacing w:line="240" w:lineRule="auto"/>
        <w:jc w:val="both"/>
        <w:rPr>
          <w:rFonts w:ascii="FrutigerLTStd-Light" w:hAnsi="FrutigerLTStd-Light" w:cs="FrutigerLTStd-Light"/>
          <w:color w:val="1D0E47"/>
        </w:rPr>
      </w:pPr>
    </w:p>
    <w:p w14:paraId="61A2482E" w14:textId="77777777" w:rsidR="00A6271F" w:rsidRPr="009C46A0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Bold" w:hAnsi="FrutigerLTStd-Bold" w:cs="FrutigerLTStd-Bold"/>
          <w:b/>
          <w:bCs/>
          <w:color w:val="1D0E47"/>
          <w:sz w:val="24"/>
          <w:szCs w:val="24"/>
        </w:rPr>
      </w:pPr>
      <w:r w:rsidRPr="009C46A0">
        <w:rPr>
          <w:rFonts w:ascii="FrutigerLTStd-Bold" w:hAnsi="FrutigerLTStd-Bold" w:cs="FrutigerLTStd-Bold"/>
          <w:b/>
          <w:bCs/>
          <w:color w:val="1D0E47"/>
          <w:sz w:val="24"/>
          <w:szCs w:val="24"/>
        </w:rPr>
        <w:t>3. Quorum</w:t>
      </w:r>
    </w:p>
    <w:p w14:paraId="29B7E760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The quorum necessary for the transaction of business shall be two (both of whom must</w:t>
      </w:r>
    </w:p>
    <w:p w14:paraId="0F341F7A" w14:textId="77777777" w:rsidR="00A6271F" w:rsidRDefault="00A6271F" w:rsidP="00A6271F">
      <w:pPr>
        <w:keepLines/>
        <w:spacing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be independent non-executive directors).</w:t>
      </w:r>
    </w:p>
    <w:p w14:paraId="5DA83760" w14:textId="77777777" w:rsidR="009C46A0" w:rsidRDefault="009C46A0" w:rsidP="00A6271F">
      <w:pPr>
        <w:keepLines/>
        <w:spacing w:line="240" w:lineRule="auto"/>
        <w:rPr>
          <w:rFonts w:ascii="FrutigerLTStd-Light" w:hAnsi="FrutigerLTStd-Light" w:cs="FrutigerLTStd-Light"/>
          <w:color w:val="1D0E47"/>
        </w:rPr>
      </w:pPr>
    </w:p>
    <w:p w14:paraId="19615696" w14:textId="77777777" w:rsidR="00A6271F" w:rsidRPr="009C46A0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Bold" w:hAnsi="FrutigerLTStd-Bold" w:cs="FrutigerLTStd-Bold"/>
          <w:b/>
          <w:bCs/>
          <w:color w:val="1D0E47"/>
          <w:sz w:val="24"/>
          <w:szCs w:val="24"/>
        </w:rPr>
      </w:pPr>
      <w:r w:rsidRPr="009C46A0">
        <w:rPr>
          <w:rFonts w:ascii="FrutigerLTStd-Bold" w:hAnsi="FrutigerLTStd-Bold" w:cs="FrutigerLTStd-Bold"/>
          <w:b/>
          <w:bCs/>
          <w:color w:val="1D0E47"/>
          <w:sz w:val="24"/>
          <w:szCs w:val="24"/>
        </w:rPr>
        <w:t>4. Frequency of meetings</w:t>
      </w:r>
    </w:p>
    <w:p w14:paraId="464383DF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  <w:sz w:val="13"/>
          <w:szCs w:val="13"/>
        </w:rPr>
      </w:pPr>
      <w:r>
        <w:rPr>
          <w:rFonts w:ascii="FrutigerLTStd-Light" w:hAnsi="FrutigerLTStd-Light" w:cs="FrutigerLTStd-Light"/>
          <w:color w:val="1D0E47"/>
        </w:rPr>
        <w:t>The committee shall meet at least twice a year</w:t>
      </w:r>
      <w:r>
        <w:rPr>
          <w:rFonts w:ascii="FrutigerLTStd-Light" w:hAnsi="FrutigerLTStd-Light" w:cs="FrutigerLTStd-Light"/>
          <w:color w:val="1D0E47"/>
          <w:sz w:val="13"/>
          <w:szCs w:val="13"/>
        </w:rPr>
        <w:t xml:space="preserve"> </w:t>
      </w:r>
      <w:r>
        <w:rPr>
          <w:rFonts w:ascii="FrutigerLTStd-Light" w:hAnsi="FrutigerLTStd-Light" w:cs="FrutigerLTStd-Light"/>
          <w:color w:val="1D0E47"/>
        </w:rPr>
        <w:t>and otherwise as required.</w:t>
      </w:r>
    </w:p>
    <w:p w14:paraId="2726D183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  <w:sz w:val="13"/>
          <w:szCs w:val="13"/>
        </w:rPr>
      </w:pPr>
    </w:p>
    <w:p w14:paraId="17405DB8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  <w:sz w:val="13"/>
          <w:szCs w:val="13"/>
        </w:rPr>
      </w:pPr>
    </w:p>
    <w:p w14:paraId="1B580821" w14:textId="77777777" w:rsidR="009C46A0" w:rsidRDefault="009C46A0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  <w:sz w:val="13"/>
          <w:szCs w:val="13"/>
        </w:rPr>
      </w:pPr>
    </w:p>
    <w:p w14:paraId="1B3C9AE1" w14:textId="77777777" w:rsidR="00A6271F" w:rsidRPr="009C46A0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Bold" w:hAnsi="FrutigerLTStd-Bold" w:cs="FrutigerLTStd-Bold"/>
          <w:b/>
          <w:bCs/>
          <w:color w:val="1D0E47"/>
          <w:sz w:val="24"/>
          <w:szCs w:val="24"/>
        </w:rPr>
      </w:pPr>
      <w:r w:rsidRPr="009C46A0">
        <w:rPr>
          <w:rFonts w:ascii="FrutigerLTStd-Bold" w:hAnsi="FrutigerLTStd-Bold" w:cs="FrutigerLTStd-Bold"/>
          <w:b/>
          <w:bCs/>
          <w:color w:val="1D0E47"/>
          <w:sz w:val="24"/>
          <w:szCs w:val="24"/>
        </w:rPr>
        <w:t>5. Notice of meetings</w:t>
      </w:r>
    </w:p>
    <w:p w14:paraId="7F0E68C0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5.1 Meetings of the committee shall be called by the secretary of the committee at the</w:t>
      </w:r>
    </w:p>
    <w:p w14:paraId="66D584BC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request of the committee chair or any of its members.</w:t>
      </w:r>
    </w:p>
    <w:p w14:paraId="28520B39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</w:p>
    <w:p w14:paraId="6E8544E6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5.2 Unless otherwise agreed, notice of each meeting confirming the venue, time and</w:t>
      </w:r>
    </w:p>
    <w:p w14:paraId="09B1186E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date, together with an agenda of items to be discussed, shall be forwarded to each</w:t>
      </w:r>
    </w:p>
    <w:p w14:paraId="6A02E496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member of the committee and any other person required to attend no later than</w:t>
      </w:r>
    </w:p>
    <w:p w14:paraId="0C084A47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five working days before the date of the meeting. Supporting papers shall be sent to</w:t>
      </w:r>
    </w:p>
    <w:p w14:paraId="35163BF8" w14:textId="77777777" w:rsidR="00A6271F" w:rsidRDefault="00A6271F" w:rsidP="00A6271F">
      <w:pPr>
        <w:keepLines/>
        <w:spacing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committee members and to other attendees, as appropriate, at the same time.</w:t>
      </w:r>
    </w:p>
    <w:p w14:paraId="31075915" w14:textId="77777777" w:rsidR="009C46A0" w:rsidRPr="003245D5" w:rsidRDefault="009C46A0" w:rsidP="00A6271F">
      <w:pPr>
        <w:keepLines/>
        <w:spacing w:line="240" w:lineRule="auto"/>
        <w:rPr>
          <w:rFonts w:ascii="FrutigerLTStd-Light" w:hAnsi="FrutigerLTStd-Light" w:cs="FrutigerLTStd-Light"/>
          <w:color w:val="1D0E47"/>
        </w:rPr>
      </w:pPr>
    </w:p>
    <w:p w14:paraId="01F1591E" w14:textId="77777777" w:rsidR="00A6271F" w:rsidRPr="009C46A0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Bold" w:hAnsi="FrutigerLTStd-Bold" w:cs="FrutigerLTStd-Bold"/>
          <w:b/>
          <w:bCs/>
          <w:color w:val="1D0E47"/>
          <w:sz w:val="24"/>
          <w:szCs w:val="24"/>
        </w:rPr>
      </w:pPr>
      <w:r w:rsidRPr="009C46A0">
        <w:rPr>
          <w:rFonts w:ascii="FrutigerLTStd-Bold" w:hAnsi="FrutigerLTStd-Bold" w:cs="FrutigerLTStd-Bold"/>
          <w:b/>
          <w:bCs/>
          <w:color w:val="1D0E47"/>
          <w:sz w:val="24"/>
          <w:szCs w:val="24"/>
        </w:rPr>
        <w:t>6. Minutes of meetings</w:t>
      </w:r>
    </w:p>
    <w:p w14:paraId="22F48940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6.1 The secretary shall minute the proceedings and decisions of all committee meetings,</w:t>
      </w:r>
    </w:p>
    <w:p w14:paraId="1A421C52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including recording the names of those present and in attendance.</w:t>
      </w:r>
    </w:p>
    <w:p w14:paraId="75452584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</w:p>
    <w:p w14:paraId="78BD2DD7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lastRenderedPageBreak/>
        <w:t>6.2 Draft minutes of committee meetings shall be circulated to all members of the</w:t>
      </w:r>
    </w:p>
    <w:p w14:paraId="0C9478BC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committee. Once approved, minutes should be circulated to all other members of the</w:t>
      </w:r>
    </w:p>
    <w:p w14:paraId="36E87FDE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board and the association secretary unless, exceptionally, it would be inappropriate to do</w:t>
      </w:r>
    </w:p>
    <w:p w14:paraId="107E2AA3" w14:textId="77777777" w:rsidR="00A6271F" w:rsidRPr="003245D5" w:rsidRDefault="00A6271F" w:rsidP="00A6271F">
      <w:pPr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so.</w:t>
      </w:r>
    </w:p>
    <w:p w14:paraId="53367187" w14:textId="77777777" w:rsidR="00A6271F" w:rsidRPr="009C46A0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Bold" w:hAnsi="FrutigerLTStd-Bold" w:cs="FrutigerLTStd-Bold"/>
          <w:b/>
          <w:bCs/>
          <w:color w:val="1D0E47"/>
          <w:sz w:val="24"/>
          <w:szCs w:val="24"/>
        </w:rPr>
      </w:pPr>
      <w:r w:rsidRPr="009C46A0">
        <w:rPr>
          <w:rFonts w:ascii="FrutigerLTStd-Bold" w:hAnsi="FrutigerLTStd-Bold" w:cs="FrutigerLTStd-Bold"/>
          <w:b/>
          <w:bCs/>
          <w:color w:val="1D0E47"/>
          <w:sz w:val="24"/>
          <w:szCs w:val="24"/>
        </w:rPr>
        <w:t>7. Engagement with members</w:t>
      </w:r>
    </w:p>
    <w:p w14:paraId="6AAE185D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7.1 The committee chair should attend the annual general meeting to answer any</w:t>
      </w:r>
    </w:p>
    <w:p w14:paraId="33E99D33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  <w:sz w:val="13"/>
          <w:szCs w:val="13"/>
        </w:rPr>
      </w:pPr>
      <w:r>
        <w:rPr>
          <w:rFonts w:ascii="FrutigerLTStd-Light" w:hAnsi="FrutigerLTStd-Light" w:cs="FrutigerLTStd-Light"/>
          <w:color w:val="1D0E47"/>
        </w:rPr>
        <w:t>members questions on the committee’s activities.</w:t>
      </w:r>
      <w:r>
        <w:rPr>
          <w:rFonts w:ascii="FrutigerLTStd-Light" w:hAnsi="FrutigerLTStd-Light" w:cs="FrutigerLTStd-Light"/>
          <w:color w:val="1D0E47"/>
          <w:sz w:val="13"/>
          <w:szCs w:val="13"/>
        </w:rPr>
        <w:t xml:space="preserve"> </w:t>
      </w:r>
    </w:p>
    <w:p w14:paraId="24407935" w14:textId="77777777" w:rsidR="009C46A0" w:rsidRDefault="009C46A0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</w:p>
    <w:p w14:paraId="5876AB43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</w:p>
    <w:p w14:paraId="5B950E58" w14:textId="77777777" w:rsidR="00A6271F" w:rsidRPr="009C46A0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Bold" w:hAnsi="FrutigerLTStd-Bold" w:cs="FrutigerLTStd-Bold"/>
          <w:b/>
          <w:bCs/>
          <w:color w:val="1D0E47"/>
          <w:sz w:val="24"/>
          <w:szCs w:val="24"/>
        </w:rPr>
      </w:pPr>
      <w:r w:rsidRPr="009C46A0">
        <w:rPr>
          <w:rFonts w:ascii="FrutigerLTStd-Bold" w:hAnsi="FrutigerLTStd-Bold" w:cs="FrutigerLTStd-Bold"/>
          <w:b/>
          <w:bCs/>
          <w:color w:val="1D0E47"/>
          <w:sz w:val="24"/>
          <w:szCs w:val="24"/>
        </w:rPr>
        <w:t>8. Duties</w:t>
      </w:r>
    </w:p>
    <w:p w14:paraId="00541A1E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The committee shall:</w:t>
      </w:r>
    </w:p>
    <w:p w14:paraId="357AA3B3" w14:textId="77777777" w:rsidR="009C46A0" w:rsidRDefault="009C46A0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</w:p>
    <w:p w14:paraId="3CE6E9B6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8.1 Regularly review the structure, size and composition (including the skills, knowledge,</w:t>
      </w:r>
    </w:p>
    <w:p w14:paraId="01A0D1A0" w14:textId="77777777" w:rsidR="00A6271F" w:rsidRDefault="00A6271F" w:rsidP="009C46A0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experience and diversity) of the board and make recommendations to the board with</w:t>
      </w:r>
    </w:p>
    <w:p w14:paraId="119686D3" w14:textId="77777777" w:rsidR="00A6271F" w:rsidRDefault="00A6271F" w:rsidP="009C46A0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regard to any changes.</w:t>
      </w:r>
    </w:p>
    <w:p w14:paraId="56BEF9C2" w14:textId="77777777" w:rsidR="00A6271F" w:rsidRDefault="00A6271F" w:rsidP="009C46A0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</w:p>
    <w:p w14:paraId="77807A27" w14:textId="77777777" w:rsidR="00A6271F" w:rsidRDefault="00A6271F" w:rsidP="009C46A0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8.2 Ensure plans are in place for orderly succession to board and senior management</w:t>
      </w:r>
    </w:p>
    <w:p w14:paraId="16DB1744" w14:textId="77777777" w:rsidR="00A6271F" w:rsidRDefault="00A6271F" w:rsidP="009C46A0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positions, and oversee the development of a diverse pipeline for succession, taking into</w:t>
      </w:r>
    </w:p>
    <w:p w14:paraId="6E185129" w14:textId="77777777" w:rsidR="00A6271F" w:rsidRDefault="00A6271F" w:rsidP="009C46A0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account the challenges and opportunities facing the association, and the skills and expertise</w:t>
      </w:r>
    </w:p>
    <w:p w14:paraId="35EE7A58" w14:textId="77777777" w:rsidR="00A6271F" w:rsidRDefault="00A6271F" w:rsidP="009C46A0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needed on the board in the future.</w:t>
      </w:r>
    </w:p>
    <w:p w14:paraId="18D863E7" w14:textId="77777777" w:rsidR="00A6271F" w:rsidRDefault="00A6271F" w:rsidP="009C46A0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</w:p>
    <w:p w14:paraId="407D57E7" w14:textId="77777777" w:rsidR="00A6271F" w:rsidRDefault="00A6271F" w:rsidP="009C46A0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8.3 Keep under review the leadership needs of the association, both executive and nonexecutive,</w:t>
      </w:r>
    </w:p>
    <w:p w14:paraId="23A22198" w14:textId="77777777" w:rsidR="00A6271F" w:rsidRDefault="00A6271F" w:rsidP="009C46A0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with a view to ensuring the continued ability of the association to compete</w:t>
      </w:r>
    </w:p>
    <w:p w14:paraId="1DEF948B" w14:textId="77777777" w:rsidR="00A6271F" w:rsidRDefault="00A6271F" w:rsidP="009C46A0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effectively in the marketplace.</w:t>
      </w:r>
    </w:p>
    <w:p w14:paraId="0B22678D" w14:textId="77777777" w:rsidR="00A6271F" w:rsidRDefault="00A6271F" w:rsidP="009C46A0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</w:p>
    <w:p w14:paraId="41EB318A" w14:textId="77777777" w:rsidR="00A6271F" w:rsidRDefault="00A6271F" w:rsidP="009C46A0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8.4 Keep up-to-date and fully informed about strategic issues and commercial changes</w:t>
      </w:r>
    </w:p>
    <w:p w14:paraId="76D84024" w14:textId="77777777" w:rsidR="00A6271F" w:rsidRDefault="00A6271F" w:rsidP="009C46A0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affecting the association and the market in which it operates.</w:t>
      </w:r>
    </w:p>
    <w:p w14:paraId="61218A14" w14:textId="77777777" w:rsidR="00A6271F" w:rsidRDefault="00A6271F" w:rsidP="009C46A0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</w:p>
    <w:p w14:paraId="5EBB1BC6" w14:textId="77777777" w:rsidR="00A6271F" w:rsidRDefault="00A6271F" w:rsidP="009C46A0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8.5 Be responsible for identifying and nominating for the approval of the board,</w:t>
      </w:r>
    </w:p>
    <w:p w14:paraId="4B255418" w14:textId="77777777" w:rsidR="00A6271F" w:rsidRDefault="00A6271F" w:rsidP="009C46A0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candidates to fill board vacancies as and when they arise.</w:t>
      </w:r>
    </w:p>
    <w:p w14:paraId="7217FC66" w14:textId="77777777" w:rsidR="00A6271F" w:rsidRDefault="00A6271F" w:rsidP="009C46A0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</w:p>
    <w:p w14:paraId="1D3AD389" w14:textId="77777777" w:rsidR="00A6271F" w:rsidRDefault="00A6271F" w:rsidP="009C46A0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8.6 Before any appointment is made by the board, evaluate the balance of skills,</w:t>
      </w:r>
    </w:p>
    <w:p w14:paraId="74D1F99F" w14:textId="77777777" w:rsidR="00A6271F" w:rsidRDefault="00A6271F" w:rsidP="009C46A0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knowledge, experience and diversity on the board and, in the light of this evaluation,</w:t>
      </w:r>
    </w:p>
    <w:p w14:paraId="36623436" w14:textId="77777777" w:rsidR="00A6271F" w:rsidRDefault="00A6271F" w:rsidP="009C46A0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prepare a description of the role and capabilities required for a particular appointment</w:t>
      </w:r>
    </w:p>
    <w:p w14:paraId="7079C15F" w14:textId="77777777" w:rsidR="00A6271F" w:rsidRDefault="00A6271F" w:rsidP="009C46A0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and the time commitment expected. In identifying suitable candidates, the committee</w:t>
      </w:r>
    </w:p>
    <w:p w14:paraId="09FC5DD7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shall:</w:t>
      </w:r>
    </w:p>
    <w:p w14:paraId="31A8AC31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</w:p>
    <w:p w14:paraId="2EE29849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8.6.1 use open advertising or the services of external advisers to facilitate the search</w:t>
      </w:r>
    </w:p>
    <w:p w14:paraId="45F9031C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</w:p>
    <w:p w14:paraId="7CF913CC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8.6.2 consider candidates from a wide range of backgrounds</w:t>
      </w:r>
    </w:p>
    <w:p w14:paraId="7A797603" w14:textId="77777777" w:rsidR="00A6271F" w:rsidRPr="002953FB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</w:p>
    <w:p w14:paraId="20B14980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8.6.3 consider candidates on merit and against objective criteria, having due regard to</w:t>
      </w:r>
    </w:p>
    <w:p w14:paraId="4C5D8971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the benefits of diversity on the board and taking care that appointees have enough</w:t>
      </w:r>
    </w:p>
    <w:p w14:paraId="3B6E9B01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  <w:sz w:val="13"/>
          <w:szCs w:val="13"/>
        </w:rPr>
      </w:pPr>
      <w:r>
        <w:rPr>
          <w:rFonts w:ascii="FrutigerLTStd-Light" w:hAnsi="FrutigerLTStd-Light" w:cs="FrutigerLTStd-Light"/>
          <w:color w:val="1D0E47"/>
        </w:rPr>
        <w:t>time available to devote to the position.</w:t>
      </w:r>
    </w:p>
    <w:p w14:paraId="1D3D3EDF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  <w:sz w:val="13"/>
          <w:szCs w:val="13"/>
        </w:rPr>
      </w:pPr>
    </w:p>
    <w:p w14:paraId="51A1ABC1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8.7 Prior to the appointment of a director, other significant time commitments should be</w:t>
      </w:r>
    </w:p>
    <w:p w14:paraId="4246F48A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disclosed and any additional future commitments should not be undertaken without prior</w:t>
      </w:r>
    </w:p>
    <w:p w14:paraId="37201B6A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approval of the board.</w:t>
      </w:r>
      <w:r>
        <w:rPr>
          <w:rFonts w:ascii="FrutigerLTStd-Light" w:hAnsi="FrutigerLTStd-Light" w:cs="FrutigerLTStd-Light"/>
          <w:color w:val="1D0E47"/>
          <w:sz w:val="13"/>
          <w:szCs w:val="13"/>
        </w:rPr>
        <w:t xml:space="preserve"> </w:t>
      </w:r>
      <w:r>
        <w:rPr>
          <w:rFonts w:ascii="FrutigerLTStd-Light" w:hAnsi="FrutigerLTStd-Light" w:cs="FrutigerLTStd-Light"/>
          <w:color w:val="1D0E47"/>
        </w:rPr>
        <w:t>The proposed appointee should also be required to disclose any</w:t>
      </w:r>
    </w:p>
    <w:p w14:paraId="65C87DB5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other business interests that may result in a conflict of interest. These must be authorised</w:t>
      </w:r>
    </w:p>
    <w:p w14:paraId="578B7E8A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by the board prior to appointment and any future business interests that could result in a</w:t>
      </w:r>
    </w:p>
    <w:p w14:paraId="1D8262A8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  <w:sz w:val="13"/>
          <w:szCs w:val="13"/>
        </w:rPr>
      </w:pPr>
      <w:r>
        <w:rPr>
          <w:rFonts w:ascii="FrutigerLTStd-Light" w:hAnsi="FrutigerLTStd-Light" w:cs="FrutigerLTStd-Light"/>
          <w:color w:val="1D0E47"/>
        </w:rPr>
        <w:t>conflict of interest must not be undertaken without prior authorisation of the board.</w:t>
      </w:r>
    </w:p>
    <w:p w14:paraId="2E0F7770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  <w:sz w:val="13"/>
          <w:szCs w:val="13"/>
        </w:rPr>
      </w:pPr>
    </w:p>
    <w:p w14:paraId="2265C434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8.8 Ensure that, on appointment to the board, non-executive directors receive a formal</w:t>
      </w:r>
    </w:p>
    <w:p w14:paraId="3524C16E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letter of appointment setting out clearly what is expected of them in terms of time</w:t>
      </w:r>
    </w:p>
    <w:p w14:paraId="5E1D57D3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  <w:sz w:val="13"/>
          <w:szCs w:val="13"/>
        </w:rPr>
      </w:pPr>
      <w:r>
        <w:rPr>
          <w:rFonts w:ascii="FrutigerLTStd-Light" w:hAnsi="FrutigerLTStd-Light" w:cs="FrutigerLTStd-Light"/>
          <w:color w:val="1D0E47"/>
        </w:rPr>
        <w:t>commitment, committee service and involvement outside board meetings.</w:t>
      </w:r>
    </w:p>
    <w:p w14:paraId="26BF22B4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  <w:sz w:val="13"/>
          <w:szCs w:val="13"/>
        </w:rPr>
      </w:pPr>
    </w:p>
    <w:p w14:paraId="0DA32032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8.9 Review the results of the board performance evaluation process that relate to the</w:t>
      </w:r>
    </w:p>
    <w:p w14:paraId="4616D89C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  <w:sz w:val="13"/>
          <w:szCs w:val="13"/>
        </w:rPr>
      </w:pPr>
      <w:r>
        <w:rPr>
          <w:rFonts w:ascii="FrutigerLTStd-Light" w:hAnsi="FrutigerLTStd-Light" w:cs="FrutigerLTStd-Light"/>
          <w:color w:val="1D0E47"/>
        </w:rPr>
        <w:t>composition of the board and succession planning.</w:t>
      </w:r>
    </w:p>
    <w:p w14:paraId="7580A638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  <w:sz w:val="13"/>
          <w:szCs w:val="13"/>
        </w:rPr>
      </w:pPr>
    </w:p>
    <w:p w14:paraId="6375B278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8.10 Review annually the time required from non-executive directors. Performance</w:t>
      </w:r>
    </w:p>
    <w:p w14:paraId="354C96D0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evaluation should be used to assess whether the non-executive directors are spending</w:t>
      </w:r>
    </w:p>
    <w:p w14:paraId="56426EA5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enough time to fulfil their duties.</w:t>
      </w:r>
    </w:p>
    <w:p w14:paraId="4D9B9BEA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</w:p>
    <w:p w14:paraId="65B93007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8.11 Work and liaise as necessary with other board committees, ensuring the interaction</w:t>
      </w:r>
    </w:p>
    <w:p w14:paraId="0C747C73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  <w:sz w:val="13"/>
          <w:szCs w:val="13"/>
        </w:rPr>
      </w:pPr>
      <w:r>
        <w:rPr>
          <w:rFonts w:ascii="FrutigerLTStd-Light" w:hAnsi="FrutigerLTStd-Light" w:cs="FrutigerLTStd-Light"/>
          <w:color w:val="1D0E47"/>
        </w:rPr>
        <w:t>between committees and with the board is reviewed regularly.</w:t>
      </w:r>
    </w:p>
    <w:p w14:paraId="6BD6FD93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  <w:sz w:val="13"/>
          <w:szCs w:val="13"/>
        </w:rPr>
      </w:pPr>
    </w:p>
    <w:p w14:paraId="31CADA47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The committee shall also make recommendations to the board concerning:</w:t>
      </w:r>
    </w:p>
    <w:p w14:paraId="4E24A298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</w:p>
    <w:p w14:paraId="6E7E8206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8.12 Any changes needed to the succession planning process if its periodic assessment</w:t>
      </w:r>
    </w:p>
    <w:p w14:paraId="064F1419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indicates the desired outcomes have not been achieved.</w:t>
      </w:r>
    </w:p>
    <w:p w14:paraId="22C2B68F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  <w:sz w:val="13"/>
          <w:szCs w:val="13"/>
        </w:rPr>
      </w:pPr>
    </w:p>
    <w:p w14:paraId="22E25DA0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8.14 Membership of any other board committees as appropriate, in consultation with the chair of those committees.</w:t>
      </w:r>
    </w:p>
    <w:p w14:paraId="612E7626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</w:p>
    <w:p w14:paraId="4E778464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8.15 The re-appointment of non-executive directors at the conclusion of their specified</w:t>
      </w:r>
    </w:p>
    <w:p w14:paraId="5A1EE271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term of office having given due regard to their performance and ability to continue to</w:t>
      </w:r>
    </w:p>
    <w:p w14:paraId="6DE1FB64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contribute to the board in the light of knowledge, skills and experience required.</w:t>
      </w:r>
    </w:p>
    <w:p w14:paraId="11760C37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</w:p>
    <w:p w14:paraId="78BF4835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8.16 Any matters relating to the continuation in office of any director at any time</w:t>
      </w:r>
    </w:p>
    <w:p w14:paraId="5D421C3A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including the suspension or termination of service of an executive director as an employee</w:t>
      </w:r>
    </w:p>
    <w:p w14:paraId="4C41CA64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of the association subject to the provisions of the law and their service contract.</w:t>
      </w:r>
    </w:p>
    <w:p w14:paraId="12FE38B2" w14:textId="77777777" w:rsidR="009C46A0" w:rsidRDefault="009C46A0" w:rsidP="00A6271F">
      <w:pPr>
        <w:autoSpaceDE w:val="0"/>
        <w:autoSpaceDN w:val="0"/>
        <w:adjustRightInd w:val="0"/>
        <w:spacing w:after="0" w:line="240" w:lineRule="auto"/>
      </w:pPr>
    </w:p>
    <w:p w14:paraId="3DD1BA63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</w:pPr>
    </w:p>
    <w:p w14:paraId="31E84ADF" w14:textId="77777777" w:rsidR="00A6271F" w:rsidRPr="009C46A0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Bold" w:hAnsi="FrutigerLTStd-Bold" w:cs="FrutigerLTStd-Bold"/>
          <w:b/>
          <w:bCs/>
          <w:color w:val="1D0E47"/>
          <w:sz w:val="24"/>
          <w:szCs w:val="24"/>
        </w:rPr>
      </w:pPr>
      <w:r w:rsidRPr="009C46A0">
        <w:rPr>
          <w:rFonts w:ascii="FrutigerLTStd-Bold" w:hAnsi="FrutigerLTStd-Bold" w:cs="FrutigerLTStd-Bold"/>
          <w:b/>
          <w:bCs/>
          <w:color w:val="1D0E47"/>
          <w:sz w:val="24"/>
          <w:szCs w:val="24"/>
        </w:rPr>
        <w:t>9. Reporting responsibilities</w:t>
      </w:r>
    </w:p>
    <w:p w14:paraId="378D1DDC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9.1 The committee chair shall report to the board after each meeting on the nature and</w:t>
      </w:r>
    </w:p>
    <w:p w14:paraId="3BBF5A63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content of its discussion, recommendations and action to be taken.</w:t>
      </w:r>
    </w:p>
    <w:p w14:paraId="36FB5D29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</w:p>
    <w:p w14:paraId="6431B586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9.2 The committee shall make whatever recommendations to the board it deems</w:t>
      </w:r>
    </w:p>
    <w:p w14:paraId="620DC865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appropriate on any area within its remit where action or improvement is needed, and</w:t>
      </w:r>
    </w:p>
    <w:p w14:paraId="45CDA80D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  <w:sz w:val="13"/>
          <w:szCs w:val="13"/>
        </w:rPr>
      </w:pPr>
      <w:r>
        <w:rPr>
          <w:rFonts w:ascii="FrutigerLTStd-Light" w:hAnsi="FrutigerLTStd-Light" w:cs="FrutigerLTStd-Light"/>
          <w:color w:val="1D0E47"/>
        </w:rPr>
        <w:t>adequate time should be made available for board discussion when necessary.</w:t>
      </w:r>
    </w:p>
    <w:p w14:paraId="7DB4E0FF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  <w:sz w:val="13"/>
          <w:szCs w:val="13"/>
        </w:rPr>
      </w:pPr>
    </w:p>
    <w:p w14:paraId="1F289485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9.3 The committee shall produce a report to be included in the association’s annual report</w:t>
      </w:r>
    </w:p>
    <w:p w14:paraId="72D66BC9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describing the work of the nomination committee, including:</w:t>
      </w:r>
    </w:p>
    <w:p w14:paraId="26F1E413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</w:p>
    <w:p w14:paraId="28C76FAA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9.3.1 the process used in relation to appointments, its approach to succession planning</w:t>
      </w:r>
    </w:p>
    <w:p w14:paraId="0613A088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and how both support the development of a diverse pipeline</w:t>
      </w:r>
    </w:p>
    <w:p w14:paraId="3A0237BB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</w:p>
    <w:p w14:paraId="0220CEDD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9.3.2 how board evaluation has been conducted, the nature and extent of an external</w:t>
      </w:r>
    </w:p>
    <w:p w14:paraId="3FACA42A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evaluator’s contact with the board and individual directors, the outcomes and</w:t>
      </w:r>
    </w:p>
    <w:p w14:paraId="5D22BBB8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actions taken, and how it has influenced or will influence board composition</w:t>
      </w:r>
    </w:p>
    <w:p w14:paraId="1888783C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</w:p>
    <w:p w14:paraId="467948F9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9.3.3 the policy on diversity and inclusion, its objectives and linkage to association strategy,</w:t>
      </w:r>
    </w:p>
    <w:p w14:paraId="35F1549F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how it has been implemented and progress on achieving the objectives, and</w:t>
      </w:r>
    </w:p>
    <w:p w14:paraId="06481B47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</w:p>
    <w:p w14:paraId="174B1929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  <w:sz w:val="13"/>
          <w:szCs w:val="13"/>
        </w:rPr>
      </w:pPr>
      <w:r>
        <w:rPr>
          <w:rFonts w:ascii="FrutigerLTStd-Light" w:hAnsi="FrutigerLTStd-Light" w:cs="FrutigerLTStd-Light"/>
          <w:color w:val="1D0E47"/>
        </w:rPr>
        <w:t>9.3.4 the gender balance of those in the association and their direct reports.</w:t>
      </w:r>
    </w:p>
    <w:p w14:paraId="3710ED5F" w14:textId="77777777" w:rsidR="00A6271F" w:rsidRPr="003245D5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</w:p>
    <w:p w14:paraId="1F6F2730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9.4 If an external search consultancy has been engaged, it should be identified in the</w:t>
      </w:r>
    </w:p>
    <w:p w14:paraId="063F0F78" w14:textId="77777777" w:rsidR="00A6271F" w:rsidRDefault="00A6271F" w:rsidP="00A6271F">
      <w:pPr>
        <w:autoSpaceDE w:val="0"/>
        <w:autoSpaceDN w:val="0"/>
        <w:adjustRightInd w:val="0"/>
        <w:spacing w:after="0" w:line="240" w:lineRule="auto"/>
        <w:rPr>
          <w:rFonts w:ascii="FrutigerLTStd-Light" w:hAnsi="FrutigerLTStd-Light" w:cs="FrutigerLTStd-Light"/>
          <w:color w:val="1D0E47"/>
        </w:rPr>
      </w:pPr>
      <w:r>
        <w:rPr>
          <w:rFonts w:ascii="FrutigerLTStd-Light" w:hAnsi="FrutigerLTStd-Light" w:cs="FrutigerLTStd-Light"/>
          <w:color w:val="1D0E47"/>
        </w:rPr>
        <w:t>annual report alongside a statement about any other connection it has with the association</w:t>
      </w:r>
    </w:p>
    <w:p w14:paraId="3C411675" w14:textId="77777777" w:rsidR="00A6271F" w:rsidRPr="003245D5" w:rsidRDefault="00A6271F" w:rsidP="00A6271F">
      <w:r>
        <w:rPr>
          <w:rFonts w:ascii="FrutigerLTStd-Light" w:hAnsi="FrutigerLTStd-Light" w:cs="FrutigerLTStd-Light"/>
          <w:color w:val="1D0E47"/>
        </w:rPr>
        <w:t>or individual directors.</w:t>
      </w:r>
    </w:p>
    <w:p w14:paraId="28075242" w14:textId="77777777" w:rsidR="00A6271F" w:rsidRPr="00A6271F" w:rsidRDefault="00A6271F" w:rsidP="00A6271F"/>
    <w:sectPr w:rsidR="00A6271F" w:rsidRPr="00A62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40739" w14:textId="77777777" w:rsidR="00F57D00" w:rsidRDefault="00F57D00" w:rsidP="00A6271F">
      <w:pPr>
        <w:spacing w:after="0" w:line="240" w:lineRule="auto"/>
      </w:pPr>
      <w:r>
        <w:separator/>
      </w:r>
    </w:p>
  </w:endnote>
  <w:endnote w:type="continuationSeparator" w:id="0">
    <w:p w14:paraId="7CC059FC" w14:textId="77777777" w:rsidR="00F57D00" w:rsidRDefault="00F57D00" w:rsidP="00A6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LTStd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F7CCF" w14:textId="77777777" w:rsidR="00F57D00" w:rsidRDefault="00F57D00" w:rsidP="00A6271F">
      <w:pPr>
        <w:spacing w:after="0" w:line="240" w:lineRule="auto"/>
      </w:pPr>
      <w:r>
        <w:separator/>
      </w:r>
    </w:p>
  </w:footnote>
  <w:footnote w:type="continuationSeparator" w:id="0">
    <w:p w14:paraId="0785C1E6" w14:textId="77777777" w:rsidR="00F57D00" w:rsidRDefault="00F57D00" w:rsidP="00A627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1F"/>
    <w:rsid w:val="0006377B"/>
    <w:rsid w:val="00540BEC"/>
    <w:rsid w:val="005926A7"/>
    <w:rsid w:val="006239D6"/>
    <w:rsid w:val="00904FDE"/>
    <w:rsid w:val="009050D4"/>
    <w:rsid w:val="009C4462"/>
    <w:rsid w:val="009C46A0"/>
    <w:rsid w:val="00A6271F"/>
    <w:rsid w:val="00E6736A"/>
    <w:rsid w:val="00F57D00"/>
    <w:rsid w:val="00FC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97AC1"/>
  <w15:chartTrackingRefBased/>
  <w15:docId w15:val="{8A8AFB67-ED88-434B-A827-40B86B27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71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7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2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71F"/>
  </w:style>
  <w:style w:type="paragraph" w:styleId="Footer">
    <w:name w:val="footer"/>
    <w:basedOn w:val="Normal"/>
    <w:link w:val="FooterChar"/>
    <w:uiPriority w:val="99"/>
    <w:unhideWhenUsed/>
    <w:rsid w:val="00A62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9DD24FA29C4479CCB86FA97E9F60B" ma:contentTypeVersion="13" ma:contentTypeDescription="Create a new document." ma:contentTypeScope="" ma:versionID="d1798972889058633c94bd1d572d80a7">
  <xsd:schema xmlns:xsd="http://www.w3.org/2001/XMLSchema" xmlns:xs="http://www.w3.org/2001/XMLSchema" xmlns:p="http://schemas.microsoft.com/office/2006/metadata/properties" xmlns:ns3="068f60f7-37c3-4e5f-82b9-d4ce5b22757b" xmlns:ns4="2ff717c4-0132-4b6b-8f62-558e8a4ceabd" targetNamespace="http://schemas.microsoft.com/office/2006/metadata/properties" ma:root="true" ma:fieldsID="fcd3c07d9ca504c037614fc23b7c2492" ns3:_="" ns4:_="">
    <xsd:import namespace="068f60f7-37c3-4e5f-82b9-d4ce5b22757b"/>
    <xsd:import namespace="2ff717c4-0132-4b6b-8f62-558e8a4cea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f60f7-37c3-4e5f-82b9-d4ce5b227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17c4-0132-4b6b-8f62-558e8a4ce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11E904-C34B-41A6-AA5A-B40AE55D92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523D0E-ADF8-4482-8F9D-B0F092A4F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4C1C6D-FE3A-433B-9339-F557D9F73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f60f7-37c3-4e5f-82b9-d4ce5b22757b"/>
    <ds:schemaRef ds:uri="2ff717c4-0132-4b6b-8f62-558e8a4ce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Kennedy</dc:creator>
  <cp:keywords/>
  <dc:description/>
  <cp:lastModifiedBy>David Kennedy</cp:lastModifiedBy>
  <cp:revision>8</cp:revision>
  <dcterms:created xsi:type="dcterms:W3CDTF">2021-02-16T16:07:00Z</dcterms:created>
  <dcterms:modified xsi:type="dcterms:W3CDTF">2022-01-13T11:00:00Z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0x01010026B9DD24FA29C4479CCB86FA97E9F60B</vt:lpwstr>
  </property>
</Properties>
</file>