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5FE1D" w14:textId="3E3C9EB7" w:rsidR="004D58C7" w:rsidRDefault="004D58C7" w:rsidP="004D58C7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bookmarkStart w:id="0" w:name="_GoBack"/>
      <w:bookmarkEnd w:id="0"/>
      <w:r w:rsidRPr="004D58C7">
        <w:rPr>
          <w:rFonts w:ascii="Arial" w:eastAsia="Times New Roman" w:hAnsi="Arial" w:cs="Arial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59264" behindDoc="0" locked="0" layoutInCell="1" allowOverlap="1" wp14:anchorId="040E1ACE" wp14:editId="4E57BAD5">
            <wp:simplePos x="0" y="0"/>
            <wp:positionH relativeFrom="column">
              <wp:posOffset>2612390</wp:posOffset>
            </wp:positionH>
            <wp:positionV relativeFrom="paragraph">
              <wp:posOffset>-576580</wp:posOffset>
            </wp:positionV>
            <wp:extent cx="825500" cy="719455"/>
            <wp:effectExtent l="0" t="0" r="0" b="4445"/>
            <wp:wrapNone/>
            <wp:docPr id="3" name="Picture 2" descr="LCFA Premier Lea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FA Premier Leag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8C7">
        <w:rPr>
          <w:rFonts w:ascii="Arial" w:eastAsia="Times New Roman" w:hAnsi="Arial" w:cs="Arial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60288" behindDoc="0" locked="0" layoutInCell="1" allowOverlap="1" wp14:anchorId="6E7E9282" wp14:editId="22811D8F">
            <wp:simplePos x="0" y="0"/>
            <wp:positionH relativeFrom="column">
              <wp:posOffset>1795780</wp:posOffset>
            </wp:positionH>
            <wp:positionV relativeFrom="paragraph">
              <wp:posOffset>-576580</wp:posOffset>
            </wp:positionV>
            <wp:extent cx="719455" cy="719455"/>
            <wp:effectExtent l="0" t="0" r="4445" b="444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hire League Logo 5 Samp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8C7">
        <w:rPr>
          <w:rFonts w:ascii="Arial" w:eastAsia="Times New Roman" w:hAnsi="Arial" w:cs="Arial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61312" behindDoc="0" locked="0" layoutInCell="1" allowOverlap="1" wp14:anchorId="69E0987F" wp14:editId="674D7B53">
            <wp:simplePos x="0" y="0"/>
            <wp:positionH relativeFrom="column">
              <wp:posOffset>3533775</wp:posOffset>
            </wp:positionH>
            <wp:positionV relativeFrom="paragraph">
              <wp:posOffset>-575945</wp:posOffset>
            </wp:positionV>
            <wp:extent cx="723900" cy="7188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wcf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37682" w14:textId="14CD520C" w:rsidR="004D58C7" w:rsidRDefault="004D58C7" w:rsidP="00FA7E09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2AA355BC" w14:textId="77777777" w:rsidR="004D58C7" w:rsidRDefault="004D58C7" w:rsidP="00FA7E09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37940EBB" w14:textId="72A3321C" w:rsidR="002B7E5B" w:rsidRDefault="002B7E5B" w:rsidP="00FA7E09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Observer Coordinators</w:t>
      </w:r>
    </w:p>
    <w:p w14:paraId="1055E683" w14:textId="56ACA072" w:rsidR="00FA7E09" w:rsidRPr="00FA7E09" w:rsidRDefault="00FA7E09" w:rsidP="00FA7E09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The 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North West Combined Counties Referee Pool Observer Coordinator</w:t>
      </w:r>
      <w:r w:rsidR="002B7E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will lead the continuous improvement programme for the Observation Scheme 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across all leagues and divisions associated with the pool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To do this by the effective operation of systems and procedures and by acting as a role model for the Observers and enabling them to further develop their personal skills.</w:t>
      </w:r>
    </w:p>
    <w:p w14:paraId="4A78FC8A" w14:textId="77777777" w:rsidR="00FA7E09" w:rsidRPr="00FA7E09" w:rsidRDefault="00FA7E09" w:rsidP="00FA7E09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1E7D28E1" w14:textId="4C7B7C3D" w:rsidR="00FA7E09" w:rsidRDefault="00FA7E09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 </w:t>
      </w:r>
      <w:r w:rsidR="002B7E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appoint Observers to fixtures of each of the leagues and divisions associated with the pool using MOAS. </w:t>
      </w:r>
    </w:p>
    <w:p w14:paraId="56EE19C9" w14:textId="65344199" w:rsidR="002B7E5B" w:rsidRPr="00FA7E09" w:rsidRDefault="002B7E5B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 make appointment changes as a result of fixture changes and/or referee appointment changes </w:t>
      </w:r>
      <w:r w:rsidR="00C032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as required, including 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at short notice.</w:t>
      </w:r>
    </w:p>
    <w:p w14:paraId="4296050C" w14:textId="77777777" w:rsidR="000D722A" w:rsidRDefault="00FA7E09" w:rsidP="000D722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To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administer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all aspects of the Supply League Observation Scheme; this to include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;</w:t>
      </w:r>
    </w:p>
    <w:p w14:paraId="104C77E0" w14:textId="77777777" w:rsidR="000D722A" w:rsidRDefault="00FA7E09" w:rsidP="000D722A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appeals by referees, </w:t>
      </w:r>
    </w:p>
    <w:p w14:paraId="609F9009" w14:textId="77777777" w:rsidR="000D722A" w:rsidRDefault="00FA7E09" w:rsidP="000D722A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possible moderation or voiding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of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reports,</w:t>
      </w:r>
    </w:p>
    <w:p w14:paraId="646583EE" w14:textId="77777777" w:rsidR="000D722A" w:rsidRDefault="00FA7E09" w:rsidP="000D722A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issues concerning quality standards of reports,</w:t>
      </w:r>
    </w:p>
    <w:p w14:paraId="2583396C" w14:textId="77777777" w:rsidR="000D722A" w:rsidRDefault="00FA7E09" w:rsidP="000D722A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any related issues concerning Observers such as lateness in reporting or unacceptable behaviour </w:t>
      </w:r>
    </w:p>
    <w:p w14:paraId="363EB6A8" w14:textId="77777777" w:rsidR="00FA7E09" w:rsidRPr="00FA7E09" w:rsidRDefault="00FA7E09" w:rsidP="000D722A">
      <w:pPr>
        <w:numPr>
          <w:ilvl w:val="1"/>
          <w:numId w:val="1"/>
        </w:num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responding with feedback on reports automatically generated where the mark is 76 or over and 69 or below.</w:t>
      </w:r>
    </w:p>
    <w:p w14:paraId="1EF21D61" w14:textId="77777777" w:rsidR="00FA7E09" w:rsidRPr="00FA7E09" w:rsidRDefault="00FA7E09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 carry out the appropriate procedure for a report referred for appeal, moderation or voiding. This to include meeting the procedure deadlines, referral to 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Observer Regional Coordinator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receiving feedback from them and communicating the result with the Observer including a letter to the referee and detailed feedback to the Observer.</w:t>
      </w:r>
    </w:p>
    <w:p w14:paraId="7E7FB481" w14:textId="2A24837E" w:rsidR="002B7E5B" w:rsidRPr="002B7E5B" w:rsidRDefault="002B7E5B" w:rsidP="002B7E5B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To improve the quality and standard of report writing and marking includ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ing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identification of group or individual Observer training needs.</w:t>
      </w:r>
    </w:p>
    <w:p w14:paraId="495DDD9E" w14:textId="4AF39A9F" w:rsidR="00FA7E09" w:rsidRPr="00FA7E09" w:rsidRDefault="00FA7E09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 sample at random Observer reports with a view to identifying 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development and training in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report writing and marking that need to be addressed and resolved.</w:t>
      </w:r>
    </w:p>
    <w:p w14:paraId="310BC5E6" w14:textId="77777777" w:rsidR="00FA7E09" w:rsidRPr="00FA7E09" w:rsidRDefault="000D722A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The</w:t>
      </w:r>
      <w:r w:rsidR="00FA7E09"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development of Observers’ skills, knowledge and abilities.</w:t>
      </w:r>
    </w:p>
    <w:p w14:paraId="2BB3D7AE" w14:textId="77777777" w:rsidR="00FA7E09" w:rsidRPr="00FA7E09" w:rsidRDefault="00FA7E09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To agree the need for and content of any annual training events that may be required or mutually agreed.</w:t>
      </w:r>
    </w:p>
    <w:p w14:paraId="2D6600DC" w14:textId="77777777" w:rsidR="001E569B" w:rsidRDefault="00FA7E09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 </w:t>
      </w:r>
      <w:r w:rsidR="000D722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mprove recruitment, selection and accreditation of new Observers </w:t>
      </w:r>
      <w:r w:rsidR="001E569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throughout the counties represented by the NWCCRP, to ensure an even geographic distribution and coverage of matches.</w:t>
      </w:r>
      <w:r w:rsidR="001E569B" w:rsidRPr="001E569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</w:p>
    <w:p w14:paraId="3D3BB8CF" w14:textId="77777777" w:rsidR="001E569B" w:rsidRDefault="001E569B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Will attend no less than four county FA observer training days to enable recruitment of Observers.</w:t>
      </w:r>
    </w:p>
    <w:p w14:paraId="372DC294" w14:textId="77777777" w:rsidR="001E569B" w:rsidRDefault="001E569B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To communicate with all county Referee Development Officers covered by the NWCCRP in order to identify potential Observers to be recruited.</w:t>
      </w:r>
    </w:p>
    <w:p w14:paraId="718E7863" w14:textId="77777777" w:rsidR="00FA7E09" w:rsidRPr="00FA7E09" w:rsidRDefault="001E569B" w:rsidP="00FA7E09">
      <w:pPr>
        <w:numPr>
          <w:ilvl w:val="0"/>
          <w:numId w:val="1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</w:t>
      </w:r>
      <w:r w:rsidR="00FA7E09"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etention of existing Observers.</w:t>
      </w:r>
    </w:p>
    <w:p w14:paraId="01AD58E4" w14:textId="77777777" w:rsidR="00FA7E09" w:rsidRPr="00FA7E09" w:rsidRDefault="00FA7E09" w:rsidP="00FA7E09">
      <w:pPr>
        <w:numPr>
          <w:ilvl w:val="0"/>
          <w:numId w:val="2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 </w:t>
      </w:r>
      <w:r w:rsidR="001E569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identify to the committee and the </w:t>
      </w:r>
      <w:r w:rsid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Observer Regional Coordinator </w:t>
      </w:r>
      <w:r w:rsidR="001E569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any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Observer who is unable or unwilling to meet the acceptable standard</w:t>
      </w:r>
      <w:r w:rsidR="001E569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</w:t>
      </w:r>
    </w:p>
    <w:p w14:paraId="7237DE18" w14:textId="77777777" w:rsidR="00FA7E09" w:rsidRDefault="001E569B" w:rsidP="00FA7E09">
      <w:pPr>
        <w:numPr>
          <w:ilvl w:val="0"/>
          <w:numId w:val="2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To</w:t>
      </w:r>
      <w:r w:rsidR="00FA7E09"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provide Observer 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</w:t>
      </w:r>
      <w:r w:rsidR="00FA7E09"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raining &amp; supervise the FA Induction Training for new Observers in conjunction with the FA Observer Pathway Guidelines.</w:t>
      </w:r>
    </w:p>
    <w:p w14:paraId="6450328F" w14:textId="77777777" w:rsidR="008C4861" w:rsidRDefault="00414812" w:rsidP="008C4861">
      <w:pPr>
        <w:numPr>
          <w:ilvl w:val="0"/>
          <w:numId w:val="4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 </w:t>
      </w:r>
      <w:r w:rsid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</w:t>
      </w:r>
      <w:r w:rsidR="008C4861"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ttend and take an active part in the National Supply League Coordinators Meeting held annually, normally in the close season.</w:t>
      </w:r>
    </w:p>
    <w:p w14:paraId="73B081D2" w14:textId="77777777" w:rsidR="008C4861" w:rsidRDefault="008C4861" w:rsidP="00821F1B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lastRenderedPageBreak/>
        <w:t>To report to the NWCCRP at least annually the number of;</w:t>
      </w:r>
    </w:p>
    <w:p w14:paraId="55714861" w14:textId="77777777" w:rsidR="008C4861" w:rsidRDefault="008C4861" w:rsidP="00821F1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Games covered in the relevant supply divisions of the leagues represented</w:t>
      </w:r>
    </w:p>
    <w:p w14:paraId="75F28B13" w14:textId="77777777" w:rsidR="008C4861" w:rsidRDefault="008C4861" w:rsidP="00821F1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Random Observer reports reviewed</w:t>
      </w:r>
    </w:p>
    <w:p w14:paraId="74CE4FEF" w14:textId="77777777" w:rsidR="008C4861" w:rsidRDefault="008C4861" w:rsidP="00821F1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Reports submitted to the FA for appeal and/or moderation</w:t>
      </w:r>
    </w:p>
    <w:p w14:paraId="29DD83BA" w14:textId="77777777" w:rsidR="008C4861" w:rsidRDefault="008C4861" w:rsidP="00821F1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Reports subsequently moderated and/or voided</w:t>
      </w:r>
    </w:p>
    <w:p w14:paraId="321352CF" w14:textId="77777777" w:rsidR="008C4861" w:rsidRDefault="00821F1B" w:rsidP="00821F1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Total </w:t>
      </w:r>
      <w:r w:rsid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Observers established on the panel</w:t>
      </w:r>
    </w:p>
    <w:p w14:paraId="2A5C99AE" w14:textId="77777777" w:rsidR="008C4861" w:rsidRDefault="008C4861" w:rsidP="00821F1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Observers recruited in the year</w:t>
      </w:r>
    </w:p>
    <w:p w14:paraId="3D8070D1" w14:textId="77777777" w:rsidR="008C4861" w:rsidRPr="00FA7E09" w:rsidRDefault="008C4861" w:rsidP="00821F1B">
      <w:pPr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Observers removed, and why, in the year</w:t>
      </w:r>
    </w:p>
    <w:p w14:paraId="0374DC25" w14:textId="30389AEA" w:rsidR="00FA7E09" w:rsidRPr="008C4861" w:rsidRDefault="00FA7E09" w:rsidP="00D838F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Person Specif</w:t>
      </w:r>
      <w:r w:rsidR="004D58C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</w:t>
      </w:r>
      <w:r w:rsidRP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cation:</w:t>
      </w:r>
    </w:p>
    <w:p w14:paraId="352E1F3B" w14:textId="20C57D00" w:rsidR="00FA7E09" w:rsidRDefault="00FA7E09" w:rsidP="00FA7E09">
      <w:pPr>
        <w:numPr>
          <w:ilvl w:val="0"/>
          <w:numId w:val="4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Currently or previously been a registered referee to at </w:t>
      </w:r>
      <w:r w:rsid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east Level </w:t>
      </w:r>
      <w:r w:rsid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4</w:t>
      </w:r>
    </w:p>
    <w:p w14:paraId="53592A7D" w14:textId="51DB0D21" w:rsidR="00C032E9" w:rsidRPr="00FA7E09" w:rsidRDefault="00C032E9" w:rsidP="00FA7E09">
      <w:pPr>
        <w:numPr>
          <w:ilvl w:val="0"/>
          <w:numId w:val="4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Available at short notice throughout the season and in particular on match days</w:t>
      </w:r>
    </w:p>
    <w:p w14:paraId="4570DF38" w14:textId="77777777" w:rsidR="00FA7E09" w:rsidRPr="00FA7E09" w:rsidRDefault="00FA7E09" w:rsidP="00FA7E09">
      <w:pPr>
        <w:numPr>
          <w:ilvl w:val="0"/>
          <w:numId w:val="4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 good working knowledge of current referee structures and systems</w:t>
      </w:r>
    </w:p>
    <w:p w14:paraId="16303772" w14:textId="77777777" w:rsidR="00FA7E09" w:rsidRPr="00FA7E09" w:rsidRDefault="00FA7E09" w:rsidP="00FA7E09">
      <w:pPr>
        <w:numPr>
          <w:ilvl w:val="0"/>
          <w:numId w:val="4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Experience of Observing/Coaching/Mentoring referees at County, Supply League and/or Contributory Level</w:t>
      </w:r>
    </w:p>
    <w:p w14:paraId="52CBCA8F" w14:textId="77777777" w:rsidR="00FA7E09" w:rsidRPr="00FA7E09" w:rsidRDefault="00FA7E09" w:rsidP="00FA7E09">
      <w:pPr>
        <w:numPr>
          <w:ilvl w:val="0"/>
          <w:numId w:val="4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Some experience of the Integrated Observer Scheme at Supply League and Contributory League Level</w:t>
      </w:r>
    </w:p>
    <w:p w14:paraId="6F26A7FD" w14:textId="77777777" w:rsidR="00FA7E09" w:rsidRPr="00FA7E09" w:rsidRDefault="00FA7E09" w:rsidP="00FA7E09">
      <w:pPr>
        <w:numPr>
          <w:ilvl w:val="0"/>
          <w:numId w:val="4"/>
        </w:numPr>
        <w:spacing w:after="150" w:line="240" w:lineRule="auto"/>
        <w:ind w:left="10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Be able to travel to meet with each </w:t>
      </w:r>
      <w:r w:rsid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Referee Development Officer</w:t>
      </w:r>
      <w:r w:rsidRPr="00FA7E0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and/or </w:t>
      </w:r>
      <w:r w:rsidR="008C486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attend county FA observer training events </w:t>
      </w:r>
    </w:p>
    <w:sectPr w:rsidR="00FA7E09" w:rsidRPr="00FA7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4E6"/>
    <w:multiLevelType w:val="multilevel"/>
    <w:tmpl w:val="E2EE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E059A"/>
    <w:multiLevelType w:val="multilevel"/>
    <w:tmpl w:val="49F0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81F7E"/>
    <w:multiLevelType w:val="multilevel"/>
    <w:tmpl w:val="BDB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D2BC4"/>
    <w:multiLevelType w:val="multilevel"/>
    <w:tmpl w:val="5A9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09"/>
    <w:rsid w:val="000D722A"/>
    <w:rsid w:val="001E569B"/>
    <w:rsid w:val="002B7E5B"/>
    <w:rsid w:val="00340C03"/>
    <w:rsid w:val="00414812"/>
    <w:rsid w:val="004D58C7"/>
    <w:rsid w:val="00526B88"/>
    <w:rsid w:val="00821F1B"/>
    <w:rsid w:val="008C4861"/>
    <w:rsid w:val="00C032E9"/>
    <w:rsid w:val="00D27A1E"/>
    <w:rsid w:val="00E63196"/>
    <w:rsid w:val="00E82856"/>
    <w:rsid w:val="00EE1020"/>
    <w:rsid w:val="00F5405C"/>
    <w:rsid w:val="00FA7E09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113F"/>
  <w15:chartTrackingRefBased/>
  <w15:docId w15:val="{827C007A-508B-477E-B1AC-8F3F8CE3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E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Adamson</dc:creator>
  <cp:keywords/>
  <dc:description/>
  <cp:lastModifiedBy>Damon Traverse</cp:lastModifiedBy>
  <cp:revision>2</cp:revision>
  <cp:lastPrinted>2019-05-24T10:45:00Z</cp:lastPrinted>
  <dcterms:created xsi:type="dcterms:W3CDTF">2020-05-14T15:32:00Z</dcterms:created>
  <dcterms:modified xsi:type="dcterms:W3CDTF">2020-05-14T15:32:00Z</dcterms:modified>
</cp:coreProperties>
</file>