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B1" w:rsidRDefault="00E95D95" w:rsidP="008660A2">
      <w:pPr>
        <w:jc w:val="center"/>
        <w:rPr>
          <w:i/>
          <w:color w:val="FF0000"/>
          <w:sz w:val="28"/>
        </w:rPr>
      </w:pPr>
      <w:r>
        <w:rPr>
          <w:bCs/>
          <w:i/>
          <w:iCs/>
          <w:noProof/>
          <w:color w:val="FF0000"/>
          <w:sz w:val="28"/>
          <w:lang w:eastAsia="en-GB"/>
        </w:rPr>
        <w:drawing>
          <wp:inline distT="0" distB="0" distL="0" distR="0">
            <wp:extent cx="940435" cy="966470"/>
            <wp:effectExtent l="0" t="0" r="0" b="5080"/>
            <wp:docPr id="1" name="Picture 0" descr="Army_FOOTBALL_Grad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y_FOOTBALL_Grad_low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966470"/>
                    </a:xfrm>
                    <a:prstGeom prst="rect">
                      <a:avLst/>
                    </a:prstGeom>
                    <a:noFill/>
                    <a:ln>
                      <a:noFill/>
                    </a:ln>
                  </pic:spPr>
                </pic:pic>
              </a:graphicData>
            </a:graphic>
          </wp:inline>
        </w:drawing>
      </w:r>
    </w:p>
    <w:p w:rsidR="00C31AB1" w:rsidRDefault="00C31AB1">
      <w:pPr>
        <w:jc w:val="both"/>
        <w:rPr>
          <w:i/>
          <w:color w:val="FF0000"/>
          <w:sz w:val="28"/>
        </w:rPr>
      </w:pPr>
    </w:p>
    <w:p w:rsidR="00C31AB1" w:rsidRDefault="00C31AB1">
      <w:pPr>
        <w:jc w:val="both"/>
        <w:rPr>
          <w:color w:val="000000"/>
          <w:sz w:val="28"/>
        </w:rPr>
      </w:pPr>
      <w:r>
        <w:rPr>
          <w:color w:val="000000"/>
          <w:sz w:val="28"/>
        </w:rPr>
        <w:t xml:space="preserve">Malpractice Statement </w:t>
      </w:r>
    </w:p>
    <w:p w:rsidR="008660A2" w:rsidRDefault="008660A2">
      <w:pPr>
        <w:autoSpaceDE w:val="0"/>
        <w:autoSpaceDN w:val="0"/>
        <w:adjustRightInd w:val="0"/>
        <w:jc w:val="both"/>
        <w:rPr>
          <w:color w:val="000000"/>
        </w:rPr>
      </w:pPr>
    </w:p>
    <w:p w:rsidR="00C31AB1" w:rsidRPr="00AB1CAA" w:rsidRDefault="008660A2" w:rsidP="00825E8C">
      <w:pPr>
        <w:autoSpaceDE w:val="0"/>
        <w:autoSpaceDN w:val="0"/>
        <w:adjustRightInd w:val="0"/>
        <w:jc w:val="both"/>
        <w:rPr>
          <w:color w:val="000000"/>
          <w:szCs w:val="20"/>
        </w:rPr>
      </w:pPr>
      <w:r w:rsidRPr="00AB1CAA">
        <w:rPr>
          <w:color w:val="000000"/>
          <w:szCs w:val="20"/>
        </w:rPr>
        <w:t>Army</w:t>
      </w:r>
      <w:r w:rsidR="00C31AB1" w:rsidRPr="00AB1CAA">
        <w:rPr>
          <w:color w:val="000000"/>
          <w:szCs w:val="20"/>
        </w:rPr>
        <w:t xml:space="preserve"> FA is committed to pursuing the highest standards of probity and the elimination of malpractice</w:t>
      </w:r>
      <w:r w:rsidR="008A5A10" w:rsidRPr="00AB1CAA">
        <w:rPr>
          <w:color w:val="000000"/>
          <w:szCs w:val="20"/>
        </w:rPr>
        <w:t xml:space="preserve"> and maladministration</w:t>
      </w:r>
      <w:r w:rsidR="00C31AB1" w:rsidRPr="00AB1CAA">
        <w:rPr>
          <w:color w:val="000000"/>
          <w:szCs w:val="20"/>
        </w:rPr>
        <w:t xml:space="preserve"> in the management of our organisation</w:t>
      </w:r>
      <w:r w:rsidR="008A5A10" w:rsidRPr="00AB1CAA">
        <w:rPr>
          <w:color w:val="000000"/>
          <w:szCs w:val="20"/>
        </w:rPr>
        <w:t xml:space="preserve"> and in the delivery of our qualifications.  The Army FA</w:t>
      </w:r>
      <w:r w:rsidR="00C31AB1" w:rsidRPr="00AB1CAA">
        <w:rPr>
          <w:color w:val="000000"/>
          <w:szCs w:val="20"/>
        </w:rPr>
        <w:t xml:space="preserve"> aims to promote accountability and a climate of openness, to encourage the disclosure</w:t>
      </w:r>
      <w:r w:rsidR="008A5A10" w:rsidRPr="00AB1CAA">
        <w:rPr>
          <w:color w:val="000000"/>
          <w:szCs w:val="20"/>
        </w:rPr>
        <w:t xml:space="preserve"> of allegations of malpractice or maladministration. </w:t>
      </w:r>
    </w:p>
    <w:p w:rsidR="00825E8C" w:rsidRPr="00AB1CAA" w:rsidRDefault="00825E8C">
      <w:pPr>
        <w:autoSpaceDE w:val="0"/>
        <w:autoSpaceDN w:val="0"/>
        <w:adjustRightInd w:val="0"/>
        <w:jc w:val="both"/>
        <w:rPr>
          <w:color w:val="000000"/>
          <w:szCs w:val="20"/>
        </w:rPr>
      </w:pPr>
    </w:p>
    <w:p w:rsidR="00BA2FEC" w:rsidRPr="00AB1CAA" w:rsidRDefault="008660A2">
      <w:pPr>
        <w:pStyle w:val="BodyText"/>
        <w:autoSpaceDE w:val="0"/>
        <w:autoSpaceDN w:val="0"/>
        <w:adjustRightInd w:val="0"/>
        <w:rPr>
          <w:color w:val="000000"/>
          <w:szCs w:val="20"/>
        </w:rPr>
      </w:pPr>
      <w:r w:rsidRPr="00AB1CAA">
        <w:rPr>
          <w:color w:val="000000"/>
          <w:szCs w:val="20"/>
        </w:rPr>
        <w:t xml:space="preserve">Information </w:t>
      </w:r>
      <w:r w:rsidR="00C31AB1" w:rsidRPr="00AB1CAA">
        <w:rPr>
          <w:color w:val="000000"/>
          <w:szCs w:val="20"/>
        </w:rPr>
        <w:t>contained within this documentation applies to all personnel/</w:t>
      </w:r>
      <w:r w:rsidR="00AB1CAA">
        <w:rPr>
          <w:color w:val="000000"/>
          <w:szCs w:val="20"/>
        </w:rPr>
        <w:t>learners</w:t>
      </w:r>
      <w:r w:rsidR="00C31AB1" w:rsidRPr="00AB1CAA">
        <w:rPr>
          <w:color w:val="000000"/>
          <w:szCs w:val="20"/>
        </w:rPr>
        <w:t>/individuals involved with</w:t>
      </w:r>
      <w:r w:rsidR="008E0DE7" w:rsidRPr="00AB1CAA">
        <w:rPr>
          <w:color w:val="000000"/>
          <w:szCs w:val="20"/>
        </w:rPr>
        <w:t xml:space="preserve"> the</w:t>
      </w:r>
      <w:r w:rsidR="00C31AB1" w:rsidRPr="00AB1CAA">
        <w:rPr>
          <w:color w:val="000000"/>
          <w:szCs w:val="20"/>
        </w:rPr>
        <w:t xml:space="preserve"> </w:t>
      </w:r>
      <w:r w:rsidRPr="00AB1CAA">
        <w:rPr>
          <w:color w:val="000000"/>
          <w:szCs w:val="20"/>
        </w:rPr>
        <w:t>Army</w:t>
      </w:r>
      <w:r w:rsidR="00C31AB1" w:rsidRPr="00AB1CAA">
        <w:rPr>
          <w:color w:val="000000"/>
          <w:szCs w:val="20"/>
        </w:rPr>
        <w:t xml:space="preserve"> FA. Arrangements in place offer individuals a safe and accessible procedure for reporting allegations of malpractice in a confidential manner, on the basis that </w:t>
      </w:r>
      <w:r w:rsidR="008E0DE7" w:rsidRPr="00AB1CAA">
        <w:rPr>
          <w:color w:val="000000"/>
          <w:szCs w:val="20"/>
        </w:rPr>
        <w:t xml:space="preserve">the </w:t>
      </w:r>
      <w:r w:rsidRPr="00AB1CAA">
        <w:rPr>
          <w:color w:val="000000"/>
          <w:szCs w:val="20"/>
        </w:rPr>
        <w:t>Army</w:t>
      </w:r>
      <w:r w:rsidR="00C31AB1" w:rsidRPr="00AB1CAA">
        <w:rPr>
          <w:color w:val="000000"/>
          <w:szCs w:val="20"/>
        </w:rPr>
        <w:t xml:space="preserve"> FA will take appropriate steps to ensure that individuals reporting allegations of malpractice are not penalised and are protected and that individuals accused will be protected against false, malicious or anonymous accusations. </w:t>
      </w:r>
    </w:p>
    <w:p w:rsidR="00BA2FEC" w:rsidRPr="00AB1CAA" w:rsidRDefault="00BA2FEC">
      <w:pPr>
        <w:pStyle w:val="BodyText"/>
        <w:autoSpaceDE w:val="0"/>
        <w:autoSpaceDN w:val="0"/>
        <w:adjustRightInd w:val="0"/>
        <w:rPr>
          <w:color w:val="000000"/>
          <w:szCs w:val="20"/>
        </w:rPr>
      </w:pPr>
    </w:p>
    <w:p w:rsidR="00C31AB1" w:rsidRPr="00AB1CAA" w:rsidRDefault="008E0DE7" w:rsidP="00BA2FEC">
      <w:pPr>
        <w:pStyle w:val="BodyText"/>
        <w:autoSpaceDE w:val="0"/>
        <w:autoSpaceDN w:val="0"/>
        <w:adjustRightInd w:val="0"/>
        <w:rPr>
          <w:color w:val="000000"/>
          <w:szCs w:val="20"/>
        </w:rPr>
      </w:pPr>
      <w:r w:rsidRPr="00AB1CAA">
        <w:rPr>
          <w:color w:val="000000"/>
          <w:szCs w:val="20"/>
        </w:rPr>
        <w:t xml:space="preserve">The </w:t>
      </w:r>
      <w:r w:rsidR="008660A2" w:rsidRPr="00AB1CAA">
        <w:rPr>
          <w:color w:val="000000"/>
          <w:szCs w:val="20"/>
        </w:rPr>
        <w:t>Army</w:t>
      </w:r>
      <w:r w:rsidR="00C31AB1" w:rsidRPr="00AB1CAA">
        <w:rPr>
          <w:color w:val="000000"/>
          <w:szCs w:val="20"/>
        </w:rPr>
        <w:t xml:space="preserve"> FA is keen to encourage personnel/</w:t>
      </w:r>
      <w:r w:rsidR="00AB1CAA">
        <w:rPr>
          <w:color w:val="000000"/>
          <w:szCs w:val="20"/>
        </w:rPr>
        <w:t>learners</w:t>
      </w:r>
      <w:r w:rsidR="00C31AB1" w:rsidRPr="00AB1CAA">
        <w:rPr>
          <w:color w:val="000000"/>
          <w:szCs w:val="20"/>
        </w:rPr>
        <w:t>/individuals to report allegations without fear, and will ensure that any disclosure is treated with the utmost confidentiality. Anonymous allegations will only be considered if they are of a serious nature and the evidence is sufficient to warrant an investigation and for appropriate action to be taken. All allegations will be recorded and submitted to the awarding body for investigation.</w:t>
      </w:r>
    </w:p>
    <w:p w:rsidR="00BA2FEC" w:rsidRPr="00AB1CAA" w:rsidRDefault="00BA2FEC" w:rsidP="00BA2FEC">
      <w:pPr>
        <w:pStyle w:val="BodyText"/>
        <w:autoSpaceDE w:val="0"/>
        <w:autoSpaceDN w:val="0"/>
        <w:adjustRightInd w:val="0"/>
        <w:rPr>
          <w:color w:val="000000"/>
          <w:szCs w:val="20"/>
        </w:rPr>
      </w:pPr>
    </w:p>
    <w:p w:rsidR="00BA2FEC" w:rsidRPr="00AB1CAA" w:rsidRDefault="00BA2FEC" w:rsidP="00BA2FEC">
      <w:pPr>
        <w:pStyle w:val="BodyText"/>
        <w:rPr>
          <w:bCs/>
          <w:color w:val="000000"/>
          <w:szCs w:val="20"/>
        </w:rPr>
      </w:pPr>
      <w:r w:rsidRPr="00AB1CAA">
        <w:rPr>
          <w:bCs/>
          <w:color w:val="000000"/>
          <w:szCs w:val="20"/>
        </w:rPr>
        <w:t xml:space="preserve">It is ultimately the responsibility of the Head of the Centre, Steve Stone, to ensure that this policy is published and accessible to all personnel, </w:t>
      </w:r>
      <w:r w:rsidR="00AB1CAA">
        <w:rPr>
          <w:bCs/>
          <w:color w:val="000000"/>
          <w:szCs w:val="20"/>
        </w:rPr>
        <w:t>learners</w:t>
      </w:r>
      <w:r w:rsidRPr="00AB1CAA">
        <w:rPr>
          <w:bCs/>
          <w:color w:val="000000"/>
          <w:szCs w:val="20"/>
        </w:rPr>
        <w:t xml:space="preserve"> and any relevant third parties. However, the quality coordinators (QCs) specific to each qualification are responsible for ensuring this information is fully understood by their qualification team and by the </w:t>
      </w:r>
      <w:r w:rsidR="00AB1CAA">
        <w:rPr>
          <w:bCs/>
          <w:color w:val="000000"/>
          <w:szCs w:val="20"/>
        </w:rPr>
        <w:t>learners</w:t>
      </w:r>
      <w:r w:rsidRPr="00AB1CAA">
        <w:rPr>
          <w:bCs/>
          <w:color w:val="000000"/>
          <w:szCs w:val="20"/>
        </w:rPr>
        <w:t xml:space="preserve"> who commence courses/programmes in their area.</w:t>
      </w:r>
    </w:p>
    <w:p w:rsidR="00BA2FEC" w:rsidRDefault="00BA2FEC" w:rsidP="00BA2FEC">
      <w:pPr>
        <w:pStyle w:val="BodyText"/>
        <w:autoSpaceDE w:val="0"/>
        <w:autoSpaceDN w:val="0"/>
        <w:adjustRightInd w:val="0"/>
        <w:rPr>
          <w:color w:val="000000"/>
        </w:rPr>
      </w:pPr>
    </w:p>
    <w:p w:rsidR="00BA2FEC" w:rsidRDefault="00BA2FEC" w:rsidP="00BA2FEC">
      <w:pPr>
        <w:pStyle w:val="Default"/>
        <w:rPr>
          <w:rFonts w:ascii="Verdana" w:hAnsi="Verdana" w:cs="Times New Roman"/>
          <w:sz w:val="28"/>
          <w:szCs w:val="28"/>
        </w:rPr>
      </w:pPr>
      <w:r w:rsidRPr="00825E8C">
        <w:rPr>
          <w:rFonts w:ascii="Verdana" w:hAnsi="Verdana" w:cs="Times New Roman"/>
          <w:sz w:val="28"/>
          <w:szCs w:val="28"/>
        </w:rPr>
        <w:t xml:space="preserve">Definitions </w:t>
      </w:r>
    </w:p>
    <w:p w:rsidR="00BA2FEC" w:rsidRPr="00825E8C" w:rsidRDefault="00BA2FEC" w:rsidP="00BA2FEC">
      <w:pPr>
        <w:pStyle w:val="Default"/>
        <w:rPr>
          <w:rFonts w:ascii="Verdana" w:hAnsi="Verdana" w:cs="Times New Roman"/>
          <w:sz w:val="20"/>
          <w:szCs w:val="20"/>
        </w:rPr>
      </w:pPr>
    </w:p>
    <w:p w:rsidR="00BA2FEC" w:rsidRDefault="00BA2FEC" w:rsidP="00BA2FEC">
      <w:pPr>
        <w:pStyle w:val="Default"/>
        <w:jc w:val="both"/>
        <w:rPr>
          <w:rFonts w:ascii="Verdana" w:hAnsi="Verdana"/>
          <w:sz w:val="20"/>
          <w:szCs w:val="20"/>
        </w:rPr>
      </w:pPr>
      <w:r w:rsidRPr="00825E8C">
        <w:rPr>
          <w:rFonts w:ascii="Verdana" w:hAnsi="Verdana"/>
          <w:b/>
          <w:bCs/>
          <w:sz w:val="20"/>
          <w:szCs w:val="20"/>
        </w:rPr>
        <w:t xml:space="preserve">Malpractice </w:t>
      </w:r>
      <w:r w:rsidRPr="00825E8C">
        <w:rPr>
          <w:rFonts w:ascii="Verdana" w:hAnsi="Verdana"/>
          <w:sz w:val="20"/>
          <w:szCs w:val="20"/>
        </w:rPr>
        <w:t xml:space="preserve">is defined by </w:t>
      </w:r>
      <w:r>
        <w:rPr>
          <w:rFonts w:ascii="Verdana" w:hAnsi="Verdana"/>
          <w:sz w:val="20"/>
          <w:szCs w:val="20"/>
        </w:rPr>
        <w:t>the Army</w:t>
      </w:r>
      <w:r w:rsidRPr="00825E8C">
        <w:rPr>
          <w:rFonts w:ascii="Verdana" w:hAnsi="Verdana"/>
          <w:sz w:val="20"/>
          <w:szCs w:val="20"/>
        </w:rPr>
        <w:t xml:space="preserve"> FA as any </w:t>
      </w:r>
      <w:r w:rsidRPr="00825E8C">
        <w:rPr>
          <w:rFonts w:ascii="Verdana" w:hAnsi="Verdana"/>
          <w:b/>
          <w:bCs/>
          <w:sz w:val="20"/>
          <w:szCs w:val="20"/>
        </w:rPr>
        <w:t xml:space="preserve">deliberate </w:t>
      </w:r>
      <w:r w:rsidRPr="00825E8C">
        <w:rPr>
          <w:rFonts w:ascii="Verdana" w:hAnsi="Verdana"/>
          <w:sz w:val="20"/>
          <w:szCs w:val="20"/>
        </w:rPr>
        <w:t xml:space="preserve">activity, neglect, default or other practice that is unethical or unlawful, which breaches regulations or conditions placed upon us by awarding organisations. Such </w:t>
      </w:r>
      <w:r w:rsidRPr="00825E8C">
        <w:rPr>
          <w:rFonts w:ascii="Verdana" w:hAnsi="Verdana"/>
          <w:b/>
          <w:bCs/>
          <w:sz w:val="20"/>
          <w:szCs w:val="20"/>
        </w:rPr>
        <w:t xml:space="preserve">deliberate </w:t>
      </w:r>
      <w:r w:rsidRPr="00825E8C">
        <w:rPr>
          <w:rFonts w:ascii="Verdana" w:hAnsi="Verdana"/>
          <w:sz w:val="20"/>
          <w:szCs w:val="20"/>
        </w:rPr>
        <w:t xml:space="preserve">activity, neglect, default or other practices may compromise the integrity of our organisational statuses, financial stability, reputation, the reputation of our stakeholders and the qualifications and related assessments we are approved to deliver. As a result, this is unacceptable. This includes deliberate non-compliance with any </w:t>
      </w:r>
      <w:r>
        <w:rPr>
          <w:rFonts w:ascii="Verdana" w:hAnsi="Verdana"/>
          <w:sz w:val="20"/>
          <w:szCs w:val="20"/>
        </w:rPr>
        <w:t>Army</w:t>
      </w:r>
      <w:r w:rsidRPr="00825E8C">
        <w:rPr>
          <w:rFonts w:ascii="Verdana" w:hAnsi="Verdana"/>
          <w:sz w:val="20"/>
          <w:szCs w:val="20"/>
        </w:rPr>
        <w:t xml:space="preserve"> FA policy, procedure, guidance. </w:t>
      </w:r>
    </w:p>
    <w:p w:rsidR="00BA2FEC" w:rsidRDefault="00BA2FEC" w:rsidP="00BA2FEC">
      <w:pPr>
        <w:pStyle w:val="Default"/>
        <w:jc w:val="both"/>
        <w:rPr>
          <w:rFonts w:ascii="Verdana" w:hAnsi="Verdana"/>
          <w:sz w:val="20"/>
          <w:szCs w:val="20"/>
        </w:rPr>
      </w:pPr>
    </w:p>
    <w:p w:rsidR="00BA2FEC" w:rsidRPr="00825E8C" w:rsidRDefault="00BA2FEC" w:rsidP="00BA2FEC">
      <w:pPr>
        <w:pStyle w:val="Default"/>
        <w:jc w:val="both"/>
        <w:rPr>
          <w:rFonts w:ascii="Verdana" w:hAnsi="Verdana"/>
          <w:sz w:val="20"/>
          <w:szCs w:val="20"/>
        </w:rPr>
      </w:pPr>
      <w:r w:rsidRPr="00825E8C">
        <w:rPr>
          <w:rFonts w:ascii="Verdana" w:hAnsi="Verdana"/>
          <w:b/>
          <w:bCs/>
          <w:sz w:val="20"/>
          <w:szCs w:val="20"/>
        </w:rPr>
        <w:t xml:space="preserve">Maladministration </w:t>
      </w:r>
      <w:r w:rsidRPr="00825E8C">
        <w:rPr>
          <w:rFonts w:ascii="Verdana" w:hAnsi="Verdana"/>
          <w:sz w:val="20"/>
          <w:szCs w:val="20"/>
        </w:rPr>
        <w:t xml:space="preserve">is any activity which is </w:t>
      </w:r>
      <w:r w:rsidRPr="00825E8C">
        <w:rPr>
          <w:rFonts w:ascii="Verdana" w:hAnsi="Verdana"/>
          <w:b/>
          <w:bCs/>
          <w:sz w:val="20"/>
          <w:szCs w:val="20"/>
        </w:rPr>
        <w:t>not deliberate</w:t>
      </w:r>
      <w:r w:rsidRPr="00825E8C">
        <w:rPr>
          <w:rFonts w:ascii="Verdana" w:hAnsi="Verdana"/>
          <w:sz w:val="20"/>
          <w:szCs w:val="20"/>
        </w:rPr>
        <w:t xml:space="preserve">, but which neglects, defaults on regulation, conditions placed upon us by awarding organisations or compromises the integrity our organisational statuses, financial stability, reputation, the reputation of our stakeholders and the qualifications and related assessments we are approved to deliver. This includes accidental non-compliance with any </w:t>
      </w:r>
      <w:r>
        <w:rPr>
          <w:rFonts w:ascii="Verdana" w:hAnsi="Verdana"/>
          <w:sz w:val="20"/>
          <w:szCs w:val="20"/>
        </w:rPr>
        <w:t>Army</w:t>
      </w:r>
      <w:r w:rsidRPr="00825E8C">
        <w:rPr>
          <w:rFonts w:ascii="Verdana" w:hAnsi="Verdana"/>
          <w:sz w:val="20"/>
          <w:szCs w:val="20"/>
        </w:rPr>
        <w:t xml:space="preserve"> FA policy, procedure, guidance. </w:t>
      </w:r>
    </w:p>
    <w:p w:rsidR="00BA2FEC" w:rsidRDefault="00BA2FEC" w:rsidP="00BA2FEC">
      <w:pPr>
        <w:pStyle w:val="Default"/>
        <w:jc w:val="both"/>
        <w:rPr>
          <w:rFonts w:ascii="Verdana" w:hAnsi="Verdana"/>
          <w:sz w:val="20"/>
          <w:szCs w:val="20"/>
        </w:rPr>
      </w:pPr>
    </w:p>
    <w:p w:rsidR="00BA2FEC" w:rsidRDefault="00BA2FEC" w:rsidP="00BA2FEC">
      <w:pPr>
        <w:pStyle w:val="TOC1"/>
      </w:pPr>
    </w:p>
    <w:p w:rsidR="00BA2FEC" w:rsidRDefault="00BA2FEC" w:rsidP="00BA2FEC">
      <w:pPr>
        <w:pStyle w:val="TOC1"/>
      </w:pPr>
    </w:p>
    <w:p w:rsidR="00BA2FEC" w:rsidRDefault="00BA2FEC" w:rsidP="00BA2FEC">
      <w:pPr>
        <w:pStyle w:val="TOC1"/>
      </w:pPr>
    </w:p>
    <w:p w:rsidR="00BA2FEC" w:rsidRPr="00BA2FEC" w:rsidRDefault="00BA2FEC" w:rsidP="00BA2FEC">
      <w:pPr>
        <w:pStyle w:val="TOC1"/>
        <w:rPr>
          <w:sz w:val="28"/>
          <w:szCs w:val="28"/>
        </w:rPr>
      </w:pPr>
      <w:r>
        <w:rPr>
          <w:sz w:val="28"/>
          <w:szCs w:val="28"/>
        </w:rPr>
        <w:t>Objective</w:t>
      </w:r>
    </w:p>
    <w:p w:rsidR="00BA2FEC" w:rsidRPr="00BA2FEC" w:rsidRDefault="00BA2FEC" w:rsidP="00BA2FEC"/>
    <w:p w:rsidR="00BA2FEC" w:rsidRPr="00BA2FEC" w:rsidRDefault="00BA2FEC" w:rsidP="00BA2FEC">
      <w:pPr>
        <w:pStyle w:val="Default"/>
        <w:jc w:val="both"/>
        <w:rPr>
          <w:rFonts w:ascii="Verdana" w:hAnsi="Verdana"/>
          <w:sz w:val="20"/>
          <w:szCs w:val="20"/>
        </w:rPr>
      </w:pPr>
      <w:r w:rsidRPr="00BA2FEC">
        <w:rPr>
          <w:rFonts w:ascii="Verdana" w:hAnsi="Verdana"/>
          <w:sz w:val="20"/>
          <w:szCs w:val="20"/>
        </w:rPr>
        <w:t xml:space="preserve">In the deployment of this policy all personnel, learners and any relevant third parties are required to report any allegation of malpractice or maladministration. Cases of malpractice being withheld or confirmed may result in the imposition of sanctions, penalties or disciplinary procedures on personnel and on learners. </w:t>
      </w:r>
    </w:p>
    <w:p w:rsidR="00AB1CAA" w:rsidRDefault="00AB1CAA" w:rsidP="00BA2FEC">
      <w:pPr>
        <w:pStyle w:val="Default"/>
        <w:jc w:val="both"/>
        <w:rPr>
          <w:rFonts w:ascii="Verdana" w:hAnsi="Verdana"/>
          <w:sz w:val="20"/>
          <w:szCs w:val="20"/>
        </w:rPr>
      </w:pPr>
    </w:p>
    <w:p w:rsidR="00BA2FEC" w:rsidRPr="00BA2FEC" w:rsidRDefault="00BA2FEC" w:rsidP="00BA2FEC">
      <w:pPr>
        <w:pStyle w:val="Default"/>
        <w:jc w:val="both"/>
        <w:rPr>
          <w:rFonts w:ascii="Verdana" w:hAnsi="Verdana"/>
          <w:sz w:val="20"/>
          <w:szCs w:val="20"/>
        </w:rPr>
      </w:pPr>
      <w:r w:rsidRPr="00BA2FEC">
        <w:rPr>
          <w:rFonts w:ascii="Verdana" w:hAnsi="Verdana"/>
          <w:sz w:val="20"/>
          <w:szCs w:val="20"/>
        </w:rPr>
        <w:t xml:space="preserve">It is ultimately the responsibility of the Head of the Centre, </w:t>
      </w:r>
      <w:r w:rsidR="00AB1CAA">
        <w:rPr>
          <w:rFonts w:ascii="Verdana" w:hAnsi="Verdana"/>
          <w:sz w:val="20"/>
          <w:szCs w:val="20"/>
        </w:rPr>
        <w:t>Steve Stone</w:t>
      </w:r>
      <w:r w:rsidRPr="00BA2FEC">
        <w:rPr>
          <w:rFonts w:ascii="Verdana" w:hAnsi="Verdana"/>
          <w:sz w:val="20"/>
          <w:szCs w:val="20"/>
        </w:rPr>
        <w:t xml:space="preserve">, to ensure that this policy is implemented, published and accessible to all personnel, learners and any relevant third parties. However, the Qualification Coordinators (QCs) specific to each qualification are responsible for ensuring this information is fully understood by their qualification team and by learners who commence courses/programmes in their area. </w:t>
      </w:r>
    </w:p>
    <w:p w:rsidR="00C31AB1" w:rsidRPr="00BA2FEC" w:rsidRDefault="00C31AB1" w:rsidP="00BA2FEC">
      <w:pPr>
        <w:pStyle w:val="TOC1"/>
      </w:pPr>
      <w:r w:rsidRPr="00BA2FEC">
        <w:t xml:space="preserve">Instances of malpractice that may be committed by personnel or </w:t>
      </w:r>
      <w:r w:rsidR="00AB1CAA">
        <w:t>learners</w:t>
      </w:r>
      <w:r w:rsidRPr="00BA2FEC">
        <w:t xml:space="preserve"> include:</w:t>
      </w:r>
    </w:p>
    <w:p w:rsidR="00C31AB1" w:rsidRDefault="00C31AB1">
      <w:pPr>
        <w:jc w:val="both"/>
        <w:rPr>
          <w:color w:val="000000"/>
        </w:rPr>
      </w:pPr>
    </w:p>
    <w:p w:rsidR="00C31AB1" w:rsidRDefault="00C31AB1">
      <w:pPr>
        <w:numPr>
          <w:ilvl w:val="0"/>
          <w:numId w:val="6"/>
        </w:numPr>
        <w:autoSpaceDE w:val="0"/>
        <w:autoSpaceDN w:val="0"/>
        <w:adjustRightInd w:val="0"/>
        <w:jc w:val="both"/>
        <w:rPr>
          <w:color w:val="000000"/>
          <w:szCs w:val="22"/>
        </w:rPr>
      </w:pPr>
      <w:r>
        <w:rPr>
          <w:color w:val="000000"/>
          <w:szCs w:val="22"/>
        </w:rPr>
        <w:t>committing plagiarism by copying and passing off the whole or part(s) of another person’s work, with or without the originator’s permission and without appropriately acknowledging the source</w:t>
      </w:r>
    </w:p>
    <w:p w:rsidR="00C31AB1" w:rsidRDefault="00C31AB1">
      <w:pPr>
        <w:numPr>
          <w:ilvl w:val="0"/>
          <w:numId w:val="6"/>
        </w:numPr>
        <w:autoSpaceDE w:val="0"/>
        <w:autoSpaceDN w:val="0"/>
        <w:adjustRightInd w:val="0"/>
        <w:jc w:val="both"/>
        <w:rPr>
          <w:color w:val="000000"/>
          <w:szCs w:val="22"/>
        </w:rPr>
      </w:pPr>
      <w:r>
        <w:rPr>
          <w:color w:val="000000"/>
          <w:szCs w:val="22"/>
        </w:rPr>
        <w:t>failing to comply with the assessor’s/invigilator’s instructions and/or 1st4sport’s regulations in relation to the assessment and security</w:t>
      </w:r>
    </w:p>
    <w:p w:rsidR="00C31AB1" w:rsidRDefault="00C31AB1">
      <w:pPr>
        <w:numPr>
          <w:ilvl w:val="0"/>
          <w:numId w:val="6"/>
        </w:numPr>
        <w:autoSpaceDE w:val="0"/>
        <w:autoSpaceDN w:val="0"/>
        <w:adjustRightInd w:val="0"/>
        <w:jc w:val="both"/>
        <w:rPr>
          <w:color w:val="000000"/>
          <w:szCs w:val="22"/>
        </w:rPr>
      </w:pPr>
      <w:r>
        <w:rPr>
          <w:color w:val="000000"/>
          <w:szCs w:val="22"/>
        </w:rPr>
        <w:t xml:space="preserve">misusing assessment material </w:t>
      </w:r>
    </w:p>
    <w:p w:rsidR="00C31AB1" w:rsidRDefault="00C31AB1">
      <w:pPr>
        <w:numPr>
          <w:ilvl w:val="0"/>
          <w:numId w:val="6"/>
        </w:numPr>
        <w:autoSpaceDE w:val="0"/>
        <w:autoSpaceDN w:val="0"/>
        <w:adjustRightInd w:val="0"/>
        <w:jc w:val="both"/>
        <w:rPr>
          <w:color w:val="000000"/>
          <w:szCs w:val="22"/>
        </w:rPr>
      </w:pPr>
      <w:r>
        <w:rPr>
          <w:color w:val="000000"/>
          <w:szCs w:val="22"/>
        </w:rPr>
        <w:t xml:space="preserve">impersonating other </w:t>
      </w:r>
      <w:r w:rsidR="00AB1CAA">
        <w:rPr>
          <w:color w:val="000000"/>
          <w:szCs w:val="22"/>
        </w:rPr>
        <w:t>learners</w:t>
      </w:r>
      <w:r>
        <w:rPr>
          <w:color w:val="000000"/>
          <w:szCs w:val="22"/>
        </w:rPr>
        <w:t xml:space="preserve"> by pretending to be someone else, in order to produce the work for another, or arranging for another to take one’s place in an assessment</w:t>
      </w:r>
    </w:p>
    <w:p w:rsidR="00C31AB1" w:rsidRDefault="00C31AB1">
      <w:pPr>
        <w:numPr>
          <w:ilvl w:val="0"/>
          <w:numId w:val="6"/>
        </w:numPr>
        <w:autoSpaceDE w:val="0"/>
        <w:autoSpaceDN w:val="0"/>
        <w:adjustRightInd w:val="0"/>
        <w:jc w:val="both"/>
        <w:rPr>
          <w:color w:val="000000"/>
          <w:szCs w:val="22"/>
        </w:rPr>
      </w:pPr>
      <w:r>
        <w:rPr>
          <w:color w:val="000000"/>
          <w:szCs w:val="22"/>
        </w:rPr>
        <w:t>fabricating and/or altering results and/or evidence, documents and/or certificates</w:t>
      </w:r>
    </w:p>
    <w:p w:rsidR="00C31AB1" w:rsidRDefault="00C31AB1">
      <w:pPr>
        <w:numPr>
          <w:ilvl w:val="0"/>
          <w:numId w:val="6"/>
        </w:numPr>
        <w:autoSpaceDE w:val="0"/>
        <w:autoSpaceDN w:val="0"/>
        <w:adjustRightInd w:val="0"/>
        <w:jc w:val="both"/>
        <w:rPr>
          <w:color w:val="000000"/>
          <w:szCs w:val="22"/>
        </w:rPr>
      </w:pPr>
      <w:r>
        <w:rPr>
          <w:color w:val="000000"/>
          <w:szCs w:val="22"/>
        </w:rPr>
        <w:t xml:space="preserve">using unauthorised material in relation to the requirements of supervised assessment </w:t>
      </w:r>
    </w:p>
    <w:p w:rsidR="00C31AB1" w:rsidRDefault="00C31AB1">
      <w:pPr>
        <w:numPr>
          <w:ilvl w:val="0"/>
          <w:numId w:val="6"/>
        </w:numPr>
        <w:autoSpaceDE w:val="0"/>
        <w:autoSpaceDN w:val="0"/>
        <w:adjustRightInd w:val="0"/>
        <w:jc w:val="both"/>
        <w:rPr>
          <w:rFonts w:ascii="TimesNewRomanPSMT" w:hAnsi="TimesNewRomanPSMT"/>
          <w:color w:val="000000"/>
          <w:szCs w:val="20"/>
        </w:rPr>
      </w:pPr>
      <w:proofErr w:type="gramStart"/>
      <w:r>
        <w:rPr>
          <w:color w:val="000000"/>
          <w:szCs w:val="22"/>
        </w:rPr>
        <w:t>behaving</w:t>
      </w:r>
      <w:proofErr w:type="gramEnd"/>
      <w:r>
        <w:rPr>
          <w:color w:val="000000"/>
          <w:szCs w:val="22"/>
        </w:rPr>
        <w:t xml:space="preserve"> in such a way as to undermine the integrity of the assessment.</w:t>
      </w:r>
    </w:p>
    <w:p w:rsidR="00C31AB1" w:rsidRDefault="00C31AB1">
      <w:pPr>
        <w:autoSpaceDE w:val="0"/>
        <w:autoSpaceDN w:val="0"/>
        <w:adjustRightInd w:val="0"/>
        <w:jc w:val="both"/>
        <w:rPr>
          <w:rFonts w:ascii="TimesNewRomanPSMT" w:hAnsi="TimesNewRomanPSMT"/>
          <w:color w:val="000000"/>
          <w:szCs w:val="20"/>
        </w:rPr>
      </w:pPr>
    </w:p>
    <w:p w:rsidR="00C31AB1" w:rsidRDefault="00C31AB1">
      <w:pPr>
        <w:autoSpaceDE w:val="0"/>
        <w:autoSpaceDN w:val="0"/>
        <w:adjustRightInd w:val="0"/>
        <w:jc w:val="both"/>
        <w:rPr>
          <w:color w:val="000000"/>
        </w:rPr>
      </w:pPr>
      <w:r>
        <w:rPr>
          <w:color w:val="000000"/>
        </w:rPr>
        <w:t xml:space="preserve">Personnel and/or </w:t>
      </w:r>
      <w:r w:rsidR="00AB1CAA">
        <w:rPr>
          <w:color w:val="000000"/>
        </w:rPr>
        <w:t>learners</w:t>
      </w:r>
      <w:r>
        <w:rPr>
          <w:color w:val="000000"/>
        </w:rPr>
        <w:t xml:space="preserve"> who commit malpractice and who fail to comply with the guidance on regulations for assessment will lead 1st4sport to withhold the </w:t>
      </w:r>
      <w:r w:rsidR="00AB1CAA">
        <w:rPr>
          <w:color w:val="000000"/>
        </w:rPr>
        <w:t>learners’</w:t>
      </w:r>
      <w:r>
        <w:rPr>
          <w:color w:val="000000"/>
        </w:rPr>
        <w:t xml:space="preserve"> results. Withholding information or failing to report promptly any suspected cases of malpractice or non-compliance by centre personnel and/or </w:t>
      </w:r>
      <w:r w:rsidR="00AB1CAA">
        <w:rPr>
          <w:color w:val="000000"/>
        </w:rPr>
        <w:t>learners</w:t>
      </w:r>
      <w:r>
        <w:rPr>
          <w:color w:val="000000"/>
        </w:rPr>
        <w:t xml:space="preserve"> may result in the imposition of sanctions/penalties on </w:t>
      </w:r>
      <w:r w:rsidR="008660A2">
        <w:rPr>
          <w:color w:val="000000"/>
        </w:rPr>
        <w:t>Army</w:t>
      </w:r>
      <w:r>
        <w:rPr>
          <w:color w:val="000000"/>
        </w:rPr>
        <w:t xml:space="preserve"> FA, with a possible outcome being the suspension of certification/registration or even recognised centre status. </w:t>
      </w:r>
    </w:p>
    <w:p w:rsidR="00C31AB1" w:rsidRDefault="00C31AB1">
      <w:pPr>
        <w:autoSpaceDE w:val="0"/>
        <w:autoSpaceDN w:val="0"/>
        <w:adjustRightInd w:val="0"/>
        <w:jc w:val="both"/>
        <w:rPr>
          <w:color w:val="000000"/>
          <w:sz w:val="16"/>
        </w:rPr>
      </w:pPr>
    </w:p>
    <w:p w:rsidR="00C31AB1" w:rsidRDefault="00AB1CAA">
      <w:pPr>
        <w:autoSpaceDE w:val="0"/>
        <w:autoSpaceDN w:val="0"/>
        <w:adjustRightInd w:val="0"/>
        <w:jc w:val="both"/>
        <w:rPr>
          <w:color w:val="000000"/>
        </w:rPr>
      </w:pPr>
      <w:r>
        <w:rPr>
          <w:color w:val="000000"/>
        </w:rPr>
        <w:t>Learners</w:t>
      </w:r>
      <w:r w:rsidR="00C31AB1">
        <w:rPr>
          <w:color w:val="000000"/>
        </w:rPr>
        <w:t xml:space="preserve"> are required to be aware of the penalties for/</w:t>
      </w:r>
      <w:r w:rsidR="00C31AB1">
        <w:rPr>
          <w:iCs/>
          <w:color w:val="000000"/>
        </w:rPr>
        <w:t xml:space="preserve">consequences </w:t>
      </w:r>
      <w:r w:rsidR="00C31AB1">
        <w:rPr>
          <w:color w:val="000000"/>
        </w:rPr>
        <w:t>of breaching regulations, which may include one or more of the following:</w:t>
      </w:r>
    </w:p>
    <w:p w:rsidR="00C31AB1" w:rsidRDefault="00C31AB1">
      <w:pPr>
        <w:autoSpaceDE w:val="0"/>
        <w:autoSpaceDN w:val="0"/>
        <w:adjustRightInd w:val="0"/>
        <w:jc w:val="both"/>
        <w:rPr>
          <w:color w:val="000000"/>
          <w:sz w:val="16"/>
        </w:rPr>
      </w:pPr>
    </w:p>
    <w:p w:rsidR="00C31AB1" w:rsidRDefault="00C31AB1">
      <w:pPr>
        <w:pStyle w:val="BodyText3"/>
        <w:numPr>
          <w:ilvl w:val="0"/>
          <w:numId w:val="7"/>
        </w:numPr>
        <w:autoSpaceDE w:val="0"/>
        <w:autoSpaceDN w:val="0"/>
        <w:adjustRightInd w:val="0"/>
        <w:jc w:val="both"/>
        <w:rPr>
          <w:iCs/>
          <w:color w:val="000000"/>
        </w:rPr>
      </w:pPr>
      <w:r>
        <w:rPr>
          <w:iCs/>
          <w:color w:val="000000"/>
        </w:rPr>
        <w:t>written warning</w:t>
      </w:r>
    </w:p>
    <w:p w:rsidR="00C31AB1" w:rsidRDefault="00C31AB1">
      <w:pPr>
        <w:numPr>
          <w:ilvl w:val="0"/>
          <w:numId w:val="7"/>
        </w:numPr>
        <w:autoSpaceDE w:val="0"/>
        <w:autoSpaceDN w:val="0"/>
        <w:adjustRightInd w:val="0"/>
        <w:jc w:val="both"/>
        <w:rPr>
          <w:color w:val="000000"/>
        </w:rPr>
      </w:pPr>
      <w:r>
        <w:rPr>
          <w:color w:val="000000"/>
        </w:rPr>
        <w:t>disqualification from entering one or more (re)assessments</w:t>
      </w:r>
    </w:p>
    <w:p w:rsidR="00C31AB1" w:rsidRDefault="00C31AB1">
      <w:pPr>
        <w:pStyle w:val="Heading6"/>
        <w:numPr>
          <w:ilvl w:val="0"/>
          <w:numId w:val="7"/>
        </w:numPr>
        <w:rPr>
          <w:bCs w:val="0"/>
          <w:color w:val="000000"/>
          <w:sz w:val="20"/>
        </w:rPr>
      </w:pPr>
      <w:proofErr w:type="gramStart"/>
      <w:r>
        <w:rPr>
          <w:bCs w:val="0"/>
          <w:color w:val="000000"/>
          <w:sz w:val="20"/>
        </w:rPr>
        <w:t>disqualification</w:t>
      </w:r>
      <w:proofErr w:type="gramEnd"/>
      <w:r>
        <w:rPr>
          <w:bCs w:val="0"/>
          <w:color w:val="000000"/>
          <w:sz w:val="20"/>
        </w:rPr>
        <w:t xml:space="preserve"> from the whole qualification.</w:t>
      </w:r>
    </w:p>
    <w:p w:rsidR="00C31AB1" w:rsidRDefault="00C31AB1">
      <w:pPr>
        <w:autoSpaceDE w:val="0"/>
        <w:autoSpaceDN w:val="0"/>
        <w:adjustRightInd w:val="0"/>
        <w:jc w:val="both"/>
        <w:rPr>
          <w:color w:val="000000"/>
          <w:sz w:val="16"/>
        </w:rPr>
      </w:pPr>
    </w:p>
    <w:p w:rsidR="00C31AB1" w:rsidRDefault="00AB1CAA">
      <w:pPr>
        <w:autoSpaceDE w:val="0"/>
        <w:autoSpaceDN w:val="0"/>
        <w:adjustRightInd w:val="0"/>
        <w:jc w:val="both"/>
        <w:rPr>
          <w:iCs/>
          <w:color w:val="000000"/>
        </w:rPr>
      </w:pPr>
      <w:r>
        <w:rPr>
          <w:iCs/>
          <w:color w:val="000000"/>
        </w:rPr>
        <w:t>Learners</w:t>
      </w:r>
      <w:r w:rsidR="00C31AB1">
        <w:rPr>
          <w:iCs/>
          <w:color w:val="000000"/>
        </w:rPr>
        <w:t xml:space="preserve"> must understand that if the allegations are proven, Certificates may be invalid and those already issued may be withdrawn.</w:t>
      </w:r>
    </w:p>
    <w:p w:rsidR="00C31AB1" w:rsidRDefault="00C31AB1">
      <w:pPr>
        <w:autoSpaceDE w:val="0"/>
        <w:autoSpaceDN w:val="0"/>
        <w:adjustRightInd w:val="0"/>
        <w:jc w:val="both"/>
        <w:rPr>
          <w:iCs/>
          <w:color w:val="000000"/>
        </w:rPr>
      </w:pPr>
    </w:p>
    <w:p w:rsidR="00C31AB1" w:rsidRDefault="00C31AB1">
      <w:pPr>
        <w:autoSpaceDE w:val="0"/>
        <w:autoSpaceDN w:val="0"/>
        <w:adjustRightInd w:val="0"/>
        <w:jc w:val="both"/>
        <w:rPr>
          <w:iCs/>
          <w:color w:val="000000"/>
        </w:rPr>
      </w:pPr>
      <w:r>
        <w:rPr>
          <w:iCs/>
          <w:color w:val="000000"/>
        </w:rPr>
        <w:t>Personnel who commit malpractice, which is confirmed after investigation, may be subject to penalties, including:</w:t>
      </w:r>
    </w:p>
    <w:p w:rsidR="00C31AB1" w:rsidRDefault="00C31AB1">
      <w:pPr>
        <w:autoSpaceDE w:val="0"/>
        <w:autoSpaceDN w:val="0"/>
        <w:adjustRightInd w:val="0"/>
        <w:jc w:val="both"/>
        <w:rPr>
          <w:iCs/>
          <w:color w:val="000000"/>
        </w:rPr>
      </w:pPr>
    </w:p>
    <w:p w:rsidR="00C31AB1" w:rsidRDefault="00C31AB1">
      <w:pPr>
        <w:pStyle w:val="Header"/>
        <w:numPr>
          <w:ilvl w:val="0"/>
          <w:numId w:val="8"/>
        </w:numPr>
        <w:tabs>
          <w:tab w:val="clear" w:pos="4153"/>
          <w:tab w:val="clear" w:pos="8306"/>
        </w:tabs>
        <w:rPr>
          <w:iCs/>
          <w:color w:val="000000"/>
          <w:sz w:val="20"/>
        </w:rPr>
      </w:pPr>
      <w:r>
        <w:rPr>
          <w:iCs/>
          <w:color w:val="000000"/>
          <w:sz w:val="20"/>
        </w:rPr>
        <w:t>exclusion from the delivery of the qualification</w:t>
      </w:r>
    </w:p>
    <w:p w:rsidR="00C31AB1" w:rsidRDefault="00C31AB1">
      <w:pPr>
        <w:pStyle w:val="Header"/>
        <w:numPr>
          <w:ilvl w:val="0"/>
          <w:numId w:val="8"/>
        </w:numPr>
        <w:tabs>
          <w:tab w:val="clear" w:pos="4153"/>
          <w:tab w:val="clear" w:pos="8306"/>
        </w:tabs>
        <w:rPr>
          <w:iCs/>
          <w:color w:val="000000"/>
          <w:sz w:val="20"/>
        </w:rPr>
      </w:pPr>
      <w:r>
        <w:rPr>
          <w:iCs/>
          <w:color w:val="000000"/>
          <w:sz w:val="20"/>
        </w:rPr>
        <w:t>exclusion from the assessment of the qualification</w:t>
      </w:r>
    </w:p>
    <w:p w:rsidR="00C31AB1" w:rsidRDefault="00C31AB1">
      <w:pPr>
        <w:pStyle w:val="Header"/>
        <w:numPr>
          <w:ilvl w:val="0"/>
          <w:numId w:val="8"/>
        </w:numPr>
        <w:tabs>
          <w:tab w:val="clear" w:pos="4153"/>
          <w:tab w:val="clear" w:pos="8306"/>
        </w:tabs>
        <w:rPr>
          <w:iCs/>
          <w:color w:val="000000"/>
          <w:sz w:val="20"/>
        </w:rPr>
      </w:pPr>
      <w:r>
        <w:rPr>
          <w:iCs/>
          <w:color w:val="000000"/>
          <w:sz w:val="20"/>
        </w:rPr>
        <w:t xml:space="preserve">exclusion from the </w:t>
      </w:r>
      <w:r>
        <w:rPr>
          <w:color w:val="000000"/>
          <w:sz w:val="20"/>
        </w:rPr>
        <w:t>internal verification/moderation</w:t>
      </w:r>
      <w:r>
        <w:rPr>
          <w:iCs/>
          <w:color w:val="000000"/>
          <w:sz w:val="20"/>
        </w:rPr>
        <w:t xml:space="preserve"> of the qualification</w:t>
      </w:r>
    </w:p>
    <w:p w:rsidR="00C31AB1" w:rsidRDefault="00C31AB1">
      <w:pPr>
        <w:numPr>
          <w:ilvl w:val="0"/>
          <w:numId w:val="8"/>
        </w:numPr>
        <w:rPr>
          <w:iCs/>
          <w:color w:val="000000"/>
        </w:rPr>
      </w:pPr>
      <w:r>
        <w:rPr>
          <w:iCs/>
          <w:color w:val="000000"/>
        </w:rPr>
        <w:t>exclusion from the financial/quality management/administration of the qualification</w:t>
      </w:r>
    </w:p>
    <w:p w:rsidR="00C31AB1" w:rsidRDefault="00C31AB1">
      <w:pPr>
        <w:pStyle w:val="BodyText"/>
        <w:numPr>
          <w:ilvl w:val="0"/>
          <w:numId w:val="8"/>
        </w:numPr>
        <w:rPr>
          <w:color w:val="000000"/>
        </w:rPr>
      </w:pPr>
      <w:r>
        <w:rPr>
          <w:color w:val="000000"/>
        </w:rPr>
        <w:t>temporary suspension</w:t>
      </w:r>
    </w:p>
    <w:p w:rsidR="00C31AB1" w:rsidRDefault="00C31AB1">
      <w:pPr>
        <w:pStyle w:val="BodyText"/>
        <w:numPr>
          <w:ilvl w:val="0"/>
          <w:numId w:val="8"/>
        </w:numPr>
        <w:rPr>
          <w:color w:val="000000"/>
        </w:rPr>
      </w:pPr>
      <w:r>
        <w:rPr>
          <w:color w:val="000000"/>
        </w:rPr>
        <w:t>work only under supervision</w:t>
      </w:r>
    </w:p>
    <w:p w:rsidR="00C31AB1" w:rsidRDefault="00C31AB1">
      <w:pPr>
        <w:numPr>
          <w:ilvl w:val="0"/>
          <w:numId w:val="8"/>
        </w:numPr>
        <w:autoSpaceDE w:val="0"/>
        <w:autoSpaceDN w:val="0"/>
        <w:adjustRightInd w:val="0"/>
        <w:jc w:val="both"/>
        <w:rPr>
          <w:iCs/>
          <w:color w:val="000000"/>
        </w:rPr>
      </w:pPr>
      <w:proofErr w:type="gramStart"/>
      <w:r>
        <w:rPr>
          <w:color w:val="000000"/>
        </w:rPr>
        <w:t>undertake</w:t>
      </w:r>
      <w:proofErr w:type="gramEnd"/>
      <w:r>
        <w:rPr>
          <w:color w:val="000000"/>
        </w:rPr>
        <w:t xml:space="preserve"> specific training.</w:t>
      </w:r>
    </w:p>
    <w:p w:rsidR="00C31AB1" w:rsidRDefault="00C31AB1" w:rsidP="00BA2FEC">
      <w:pPr>
        <w:pStyle w:val="TOC1"/>
      </w:pPr>
    </w:p>
    <w:p w:rsidR="00AB1CAA" w:rsidRDefault="00AB1CAA">
      <w:pPr>
        <w:pStyle w:val="Heading6"/>
        <w:autoSpaceDE w:val="0"/>
        <w:autoSpaceDN w:val="0"/>
        <w:adjustRightInd w:val="0"/>
        <w:rPr>
          <w:bCs w:val="0"/>
          <w:color w:val="000000"/>
          <w:sz w:val="22"/>
        </w:rPr>
      </w:pPr>
    </w:p>
    <w:p w:rsidR="00C31AB1" w:rsidRPr="00AB1CAA" w:rsidRDefault="00C31AB1">
      <w:pPr>
        <w:pStyle w:val="Heading6"/>
        <w:autoSpaceDE w:val="0"/>
        <w:autoSpaceDN w:val="0"/>
        <w:adjustRightInd w:val="0"/>
        <w:rPr>
          <w:bCs w:val="0"/>
          <w:color w:val="000000"/>
          <w:sz w:val="28"/>
          <w:szCs w:val="28"/>
        </w:rPr>
      </w:pPr>
      <w:r w:rsidRPr="00AB1CAA">
        <w:rPr>
          <w:bCs w:val="0"/>
          <w:color w:val="000000"/>
          <w:sz w:val="28"/>
          <w:szCs w:val="28"/>
        </w:rPr>
        <w:t>The Reporting of Malpractice</w:t>
      </w:r>
    </w:p>
    <w:p w:rsidR="00C31AB1" w:rsidRDefault="00C31AB1">
      <w:pPr>
        <w:autoSpaceDE w:val="0"/>
        <w:autoSpaceDN w:val="0"/>
        <w:adjustRightInd w:val="0"/>
        <w:jc w:val="both"/>
        <w:rPr>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34"/>
      </w:tblGrid>
      <w:tr w:rsidR="00C31AB1">
        <w:tblPrEx>
          <w:tblCellMar>
            <w:top w:w="0" w:type="dxa"/>
            <w:bottom w:w="0" w:type="dxa"/>
          </w:tblCellMar>
        </w:tblPrEx>
        <w:trPr>
          <w:trHeight w:val="490"/>
        </w:trPr>
        <w:tc>
          <w:tcPr>
            <w:tcW w:w="9134" w:type="dxa"/>
            <w:shd w:val="clear" w:color="auto" w:fill="E6E6E6"/>
            <w:vAlign w:val="center"/>
          </w:tcPr>
          <w:p w:rsidR="00C31AB1" w:rsidRDefault="00C31AB1">
            <w:pPr>
              <w:autoSpaceDE w:val="0"/>
              <w:autoSpaceDN w:val="0"/>
              <w:adjustRightInd w:val="0"/>
              <w:jc w:val="both"/>
              <w:rPr>
                <w:color w:val="000000"/>
                <w:sz w:val="18"/>
              </w:rPr>
            </w:pPr>
            <w:r>
              <w:rPr>
                <w:color w:val="000000"/>
                <w:sz w:val="18"/>
              </w:rPr>
              <w:t>In order to make an allegation of malpractice, you are required to contact:</w:t>
            </w:r>
          </w:p>
        </w:tc>
      </w:tr>
      <w:tr w:rsidR="00C31AB1">
        <w:tblPrEx>
          <w:tblCellMar>
            <w:top w:w="0" w:type="dxa"/>
            <w:bottom w:w="0" w:type="dxa"/>
          </w:tblCellMar>
        </w:tblPrEx>
        <w:trPr>
          <w:trHeight w:val="740"/>
        </w:trPr>
        <w:tc>
          <w:tcPr>
            <w:tcW w:w="9134" w:type="dxa"/>
          </w:tcPr>
          <w:p w:rsidR="00C31AB1" w:rsidRDefault="00C31AB1">
            <w:pPr>
              <w:autoSpaceDE w:val="0"/>
              <w:autoSpaceDN w:val="0"/>
              <w:adjustRightInd w:val="0"/>
              <w:jc w:val="both"/>
              <w:rPr>
                <w:color w:val="000000"/>
                <w:sz w:val="18"/>
                <w:szCs w:val="20"/>
              </w:rPr>
            </w:pPr>
          </w:p>
          <w:p w:rsidR="00C31AB1" w:rsidRDefault="00AB1CAA">
            <w:pPr>
              <w:autoSpaceDE w:val="0"/>
              <w:autoSpaceDN w:val="0"/>
              <w:adjustRightInd w:val="0"/>
              <w:jc w:val="both"/>
              <w:rPr>
                <w:color w:val="000000"/>
                <w:sz w:val="18"/>
                <w:szCs w:val="20"/>
              </w:rPr>
            </w:pPr>
            <w:r>
              <w:rPr>
                <w:color w:val="000000"/>
                <w:sz w:val="18"/>
                <w:szCs w:val="20"/>
              </w:rPr>
              <w:t>Head of Centre</w:t>
            </w:r>
            <w:bookmarkStart w:id="0" w:name="_GoBack"/>
            <w:bookmarkEnd w:id="0"/>
          </w:p>
          <w:p w:rsidR="00C31AB1" w:rsidRDefault="008660A2">
            <w:pPr>
              <w:autoSpaceDE w:val="0"/>
              <w:autoSpaceDN w:val="0"/>
              <w:adjustRightInd w:val="0"/>
              <w:jc w:val="both"/>
              <w:rPr>
                <w:color w:val="000000"/>
                <w:sz w:val="18"/>
                <w:szCs w:val="20"/>
              </w:rPr>
            </w:pPr>
            <w:r>
              <w:rPr>
                <w:color w:val="000000"/>
                <w:sz w:val="18"/>
                <w:szCs w:val="20"/>
              </w:rPr>
              <w:t>Steve Stone</w:t>
            </w:r>
          </w:p>
          <w:p w:rsidR="00C31AB1" w:rsidRDefault="008660A2">
            <w:pPr>
              <w:autoSpaceDE w:val="0"/>
              <w:autoSpaceDN w:val="0"/>
              <w:adjustRightInd w:val="0"/>
              <w:jc w:val="both"/>
              <w:rPr>
                <w:color w:val="000000"/>
                <w:sz w:val="18"/>
                <w:szCs w:val="20"/>
              </w:rPr>
            </w:pPr>
            <w:r>
              <w:rPr>
                <w:color w:val="000000"/>
                <w:sz w:val="18"/>
                <w:szCs w:val="20"/>
              </w:rPr>
              <w:t>Army FA</w:t>
            </w:r>
          </w:p>
          <w:p w:rsidR="00C31AB1" w:rsidRDefault="008660A2">
            <w:pPr>
              <w:autoSpaceDE w:val="0"/>
              <w:autoSpaceDN w:val="0"/>
              <w:adjustRightInd w:val="0"/>
              <w:jc w:val="both"/>
              <w:rPr>
                <w:color w:val="000000"/>
                <w:sz w:val="18"/>
                <w:szCs w:val="20"/>
              </w:rPr>
            </w:pPr>
            <w:r>
              <w:rPr>
                <w:color w:val="000000"/>
                <w:sz w:val="18"/>
                <w:szCs w:val="20"/>
              </w:rPr>
              <w:t>Mackenzie Building</w:t>
            </w:r>
          </w:p>
          <w:p w:rsidR="008660A2" w:rsidRDefault="008660A2">
            <w:pPr>
              <w:autoSpaceDE w:val="0"/>
              <w:autoSpaceDN w:val="0"/>
              <w:adjustRightInd w:val="0"/>
              <w:jc w:val="both"/>
              <w:rPr>
                <w:color w:val="000000"/>
                <w:sz w:val="18"/>
                <w:szCs w:val="20"/>
              </w:rPr>
            </w:pPr>
            <w:r>
              <w:rPr>
                <w:color w:val="000000"/>
                <w:sz w:val="18"/>
                <w:szCs w:val="20"/>
              </w:rPr>
              <w:t>Fox Lines</w:t>
            </w:r>
          </w:p>
          <w:p w:rsidR="008660A2" w:rsidRDefault="008660A2">
            <w:pPr>
              <w:autoSpaceDE w:val="0"/>
              <w:autoSpaceDN w:val="0"/>
              <w:adjustRightInd w:val="0"/>
              <w:jc w:val="both"/>
              <w:rPr>
                <w:color w:val="000000"/>
                <w:sz w:val="18"/>
                <w:szCs w:val="20"/>
              </w:rPr>
            </w:pPr>
            <w:r>
              <w:rPr>
                <w:color w:val="000000"/>
                <w:sz w:val="18"/>
                <w:szCs w:val="20"/>
              </w:rPr>
              <w:t>Queens Avenue</w:t>
            </w:r>
          </w:p>
          <w:p w:rsidR="008660A2" w:rsidRDefault="008660A2">
            <w:pPr>
              <w:autoSpaceDE w:val="0"/>
              <w:autoSpaceDN w:val="0"/>
              <w:adjustRightInd w:val="0"/>
              <w:jc w:val="both"/>
              <w:rPr>
                <w:color w:val="000000"/>
                <w:sz w:val="18"/>
                <w:szCs w:val="20"/>
              </w:rPr>
            </w:pPr>
            <w:r>
              <w:rPr>
                <w:color w:val="000000"/>
                <w:sz w:val="18"/>
                <w:szCs w:val="20"/>
              </w:rPr>
              <w:t>Aldershot</w:t>
            </w:r>
          </w:p>
          <w:p w:rsidR="008660A2" w:rsidRDefault="008660A2">
            <w:pPr>
              <w:autoSpaceDE w:val="0"/>
              <w:autoSpaceDN w:val="0"/>
              <w:adjustRightInd w:val="0"/>
              <w:jc w:val="both"/>
              <w:rPr>
                <w:color w:val="000000"/>
                <w:sz w:val="18"/>
                <w:szCs w:val="20"/>
              </w:rPr>
            </w:pPr>
            <w:r>
              <w:rPr>
                <w:color w:val="000000"/>
                <w:sz w:val="18"/>
                <w:szCs w:val="20"/>
              </w:rPr>
              <w:t>GU11 2LB</w:t>
            </w:r>
          </w:p>
        </w:tc>
      </w:tr>
    </w:tbl>
    <w:p w:rsidR="00C31AB1" w:rsidRDefault="00C31AB1">
      <w:pPr>
        <w:autoSpaceDE w:val="0"/>
        <w:autoSpaceDN w:val="0"/>
        <w:adjustRightInd w:val="0"/>
        <w:jc w:val="both"/>
        <w:rPr>
          <w:color w:val="000000"/>
        </w:rPr>
      </w:pPr>
    </w:p>
    <w:p w:rsidR="00C31AB1" w:rsidRDefault="00C31AB1">
      <w:pPr>
        <w:pStyle w:val="BodyText2"/>
        <w:tabs>
          <w:tab w:val="clear" w:pos="851"/>
        </w:tabs>
        <w:rPr>
          <w:color w:val="000000"/>
        </w:rPr>
      </w:pPr>
      <w:r>
        <w:rPr>
          <w:color w:val="000000"/>
        </w:rPr>
        <w:t xml:space="preserve">The Malpractice Officer is required to report allegations of malpractice to 1st4sport by completing the </w:t>
      </w:r>
      <w:r>
        <w:rPr>
          <w:iCs/>
          <w:color w:val="000000"/>
        </w:rPr>
        <w:t>5.7.1 Alleged Malpractice Report Form</w:t>
      </w:r>
      <w:r>
        <w:rPr>
          <w:color w:val="000000"/>
        </w:rPr>
        <w:t xml:space="preserve">, with any relevant evidence attached. </w:t>
      </w:r>
    </w:p>
    <w:p w:rsidR="00C31AB1" w:rsidRDefault="00C31AB1">
      <w:pPr>
        <w:autoSpaceDE w:val="0"/>
        <w:autoSpaceDN w:val="0"/>
        <w:adjustRightInd w:val="0"/>
        <w:jc w:val="both"/>
        <w:rPr>
          <w:color w:val="000000"/>
          <w:szCs w:val="20"/>
        </w:rPr>
      </w:pPr>
    </w:p>
    <w:p w:rsidR="00C31AB1" w:rsidRDefault="00C31AB1">
      <w:pPr>
        <w:autoSpaceDE w:val="0"/>
        <w:autoSpaceDN w:val="0"/>
        <w:adjustRightInd w:val="0"/>
        <w:jc w:val="both"/>
        <w:rPr>
          <w:rFonts w:ascii="TimesNewRomanPSMT" w:hAnsi="TimesNewRomanPSMT"/>
          <w:color w:val="000000"/>
          <w:szCs w:val="20"/>
        </w:rPr>
      </w:pPr>
    </w:p>
    <w:p w:rsidR="00C31AB1" w:rsidRDefault="00E95D95" w:rsidP="008660A2">
      <w:pPr>
        <w:jc w:val="center"/>
        <w:rPr>
          <w:color w:val="000000"/>
        </w:rPr>
      </w:pPr>
      <w:r>
        <w:rPr>
          <w:bCs/>
          <w:i/>
          <w:iCs/>
          <w:noProof/>
          <w:color w:val="FF0000"/>
          <w:sz w:val="28"/>
          <w:lang w:eastAsia="en-GB"/>
        </w:rPr>
        <w:drawing>
          <wp:inline distT="0" distB="0" distL="0" distR="0">
            <wp:extent cx="940435" cy="966470"/>
            <wp:effectExtent l="0" t="0" r="0" b="5080"/>
            <wp:docPr id="2" name="Picture 0" descr="Army_FOOTBALL_Grad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y_FOOTBALL_Grad_low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966470"/>
                    </a:xfrm>
                    <a:prstGeom prst="rect">
                      <a:avLst/>
                    </a:prstGeom>
                    <a:noFill/>
                    <a:ln>
                      <a:noFill/>
                    </a:ln>
                  </pic:spPr>
                </pic:pic>
              </a:graphicData>
            </a:graphic>
          </wp:inline>
        </w:drawing>
      </w:r>
    </w:p>
    <w:sectPr w:rsidR="00C31AB1">
      <w:footerReference w:type="even" r:id="rId9"/>
      <w:footerReference w:type="default" r:id="rId10"/>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F4D" w:rsidRDefault="00066F4D">
      <w:r>
        <w:separator/>
      </w:r>
    </w:p>
  </w:endnote>
  <w:endnote w:type="continuationSeparator" w:id="0">
    <w:p w:rsidR="00066F4D" w:rsidRDefault="0006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3" w:usb1="10000000" w:usb2="00000000" w:usb3="00000000" w:csb0="80000001"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B1" w:rsidRDefault="00C31A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1AB1" w:rsidRDefault="00C31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B1" w:rsidRDefault="00C31A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CAA">
      <w:rPr>
        <w:rStyle w:val="PageNumber"/>
        <w:noProof/>
      </w:rPr>
      <w:t>1</w:t>
    </w:r>
    <w:r>
      <w:rPr>
        <w:rStyle w:val="PageNumber"/>
      </w:rPr>
      <w:fldChar w:fldCharType="end"/>
    </w:r>
  </w:p>
  <w:p w:rsidR="00C31AB1" w:rsidRDefault="00C31AB1">
    <w:pPr>
      <w:pStyle w:val="Footer"/>
    </w:pPr>
  </w:p>
  <w:p w:rsidR="00C31AB1" w:rsidRDefault="00C31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F4D" w:rsidRDefault="00066F4D">
      <w:r>
        <w:separator/>
      </w:r>
    </w:p>
  </w:footnote>
  <w:footnote w:type="continuationSeparator" w:id="0">
    <w:p w:rsidR="00066F4D" w:rsidRDefault="00066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E7D"/>
    <w:multiLevelType w:val="hybridMultilevel"/>
    <w:tmpl w:val="0D06F750"/>
    <w:lvl w:ilvl="0" w:tplc="E6D08060">
      <w:start w:val="1"/>
      <w:numFmt w:val="bullet"/>
      <w:lvlText w:val=""/>
      <w:lvlJc w:val="left"/>
      <w:pPr>
        <w:tabs>
          <w:tab w:val="num" w:pos="397"/>
        </w:tabs>
        <w:ind w:left="397" w:hanging="397"/>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523211"/>
    <w:multiLevelType w:val="hybridMultilevel"/>
    <w:tmpl w:val="DE6A07E8"/>
    <w:lvl w:ilvl="0" w:tplc="19D46070">
      <w:start w:val="1"/>
      <w:numFmt w:val="bullet"/>
      <w:lvlText w:val=""/>
      <w:lvlJc w:val="left"/>
      <w:pPr>
        <w:tabs>
          <w:tab w:val="num" w:pos="397"/>
        </w:tabs>
        <w:ind w:left="397" w:hanging="39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70E55"/>
    <w:multiLevelType w:val="hybridMultilevel"/>
    <w:tmpl w:val="163078FE"/>
    <w:lvl w:ilvl="0" w:tplc="19D46070">
      <w:start w:val="1"/>
      <w:numFmt w:val="bullet"/>
      <w:lvlText w:val=""/>
      <w:lvlJc w:val="left"/>
      <w:pPr>
        <w:tabs>
          <w:tab w:val="num" w:pos="397"/>
        </w:tabs>
        <w:ind w:left="397" w:hanging="397"/>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1927490"/>
    <w:multiLevelType w:val="hybridMultilevel"/>
    <w:tmpl w:val="163078FE"/>
    <w:lvl w:ilvl="0" w:tplc="DE9CA326">
      <w:start w:val="1"/>
      <w:numFmt w:val="bullet"/>
      <w:lvlText w:val=""/>
      <w:lvlJc w:val="left"/>
      <w:pPr>
        <w:tabs>
          <w:tab w:val="num" w:pos="757"/>
        </w:tabs>
        <w:ind w:left="757" w:hanging="397"/>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958795C"/>
    <w:multiLevelType w:val="hybridMultilevel"/>
    <w:tmpl w:val="21980700"/>
    <w:lvl w:ilvl="0" w:tplc="E6D08060">
      <w:start w:val="1"/>
      <w:numFmt w:val="bullet"/>
      <w:lvlText w:val=""/>
      <w:lvlJc w:val="left"/>
      <w:pPr>
        <w:tabs>
          <w:tab w:val="num" w:pos="397"/>
        </w:tabs>
        <w:ind w:left="397" w:hanging="397"/>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2756B7"/>
    <w:multiLevelType w:val="hybridMultilevel"/>
    <w:tmpl w:val="FE9415D6"/>
    <w:lvl w:ilvl="0" w:tplc="19D46070">
      <w:start w:val="1"/>
      <w:numFmt w:val="bullet"/>
      <w:lvlText w:val=""/>
      <w:lvlJc w:val="left"/>
      <w:pPr>
        <w:tabs>
          <w:tab w:val="num" w:pos="397"/>
        </w:tabs>
        <w:ind w:left="397" w:hanging="39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957FA3"/>
    <w:multiLevelType w:val="hybridMultilevel"/>
    <w:tmpl w:val="CE90F134"/>
    <w:lvl w:ilvl="0" w:tplc="FC90D9AA">
      <w:start w:val="1"/>
      <w:numFmt w:val="bullet"/>
      <w:lvlText w:val=""/>
      <w:lvlJc w:val="left"/>
      <w:pPr>
        <w:tabs>
          <w:tab w:val="num" w:pos="720"/>
        </w:tabs>
        <w:ind w:left="72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2249F6"/>
    <w:multiLevelType w:val="hybridMultilevel"/>
    <w:tmpl w:val="29808CE4"/>
    <w:lvl w:ilvl="0" w:tplc="FC90D9AA">
      <w:start w:val="1"/>
      <w:numFmt w:val="bullet"/>
      <w:lvlText w:val=""/>
      <w:lvlJc w:val="left"/>
      <w:pPr>
        <w:tabs>
          <w:tab w:val="num" w:pos="720"/>
        </w:tabs>
        <w:ind w:left="72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95"/>
    <w:rsid w:val="00066F4D"/>
    <w:rsid w:val="00825E8C"/>
    <w:rsid w:val="00827958"/>
    <w:rsid w:val="008660A2"/>
    <w:rsid w:val="008812AB"/>
    <w:rsid w:val="008A5A10"/>
    <w:rsid w:val="008E0DE7"/>
    <w:rsid w:val="00AB1CAA"/>
    <w:rsid w:val="00BA2FEC"/>
    <w:rsid w:val="00C31AB1"/>
    <w:rsid w:val="00E95D95"/>
    <w:rsid w:val="00FC72DE"/>
    <w:rsid w:val="00FD1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lang w:eastAsia="en-US"/>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
      <w:bCs/>
      <w:szCs w:val="28"/>
    </w:rPr>
  </w:style>
  <w:style w:type="paragraph" w:styleId="Heading6">
    <w:name w:val="heading 6"/>
    <w:basedOn w:val="Normal"/>
    <w:next w:val="Normal"/>
    <w:qFormat/>
    <w:pPr>
      <w:keepNext/>
      <w:jc w:val="both"/>
      <w:outlineLvl w:val="5"/>
    </w:pPr>
    <w:rPr>
      <w:bCs/>
      <w:color w:val="00008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18"/>
    </w:rPr>
  </w:style>
  <w:style w:type="paragraph" w:styleId="Footer">
    <w:name w:val="footer"/>
    <w:basedOn w:val="Normal"/>
    <w:semiHidden/>
    <w:pPr>
      <w:tabs>
        <w:tab w:val="center" w:pos="4153"/>
        <w:tab w:val="right" w:pos="8306"/>
      </w:tabs>
    </w:pPr>
    <w:rPr>
      <w:sz w:val="18"/>
    </w:rPr>
  </w:style>
  <w:style w:type="paragraph" w:styleId="BodyText3">
    <w:name w:val="Body Text 3"/>
    <w:basedOn w:val="Normal"/>
    <w:semiHidden/>
    <w:rPr>
      <w:color w:val="000080"/>
    </w:rPr>
  </w:style>
  <w:style w:type="paragraph" w:styleId="BodyText">
    <w:name w:val="Body Text"/>
    <w:basedOn w:val="Normal"/>
    <w:semiHidden/>
    <w:pPr>
      <w:jc w:val="both"/>
    </w:pPr>
    <w:rPr>
      <w:color w:val="000080"/>
    </w:rPr>
  </w:style>
  <w:style w:type="paragraph" w:styleId="BodyText2">
    <w:name w:val="Body Text 2"/>
    <w:basedOn w:val="Normal"/>
    <w:semiHidden/>
    <w:pPr>
      <w:tabs>
        <w:tab w:val="left" w:pos="851"/>
      </w:tabs>
      <w:jc w:val="both"/>
    </w:pPr>
    <w:rPr>
      <w:color w:val="000080"/>
      <w:szCs w:val="20"/>
    </w:rPr>
  </w:style>
  <w:style w:type="paragraph" w:styleId="TOC1">
    <w:name w:val="toc 1"/>
    <w:basedOn w:val="Normal"/>
    <w:next w:val="Normal"/>
    <w:autoRedefine/>
    <w:semiHidden/>
    <w:rsid w:val="00BA2FEC"/>
    <w:pPr>
      <w:autoSpaceDE w:val="0"/>
      <w:autoSpaceDN w:val="0"/>
      <w:adjustRightInd w:val="0"/>
      <w:jc w:val="both"/>
    </w:pPr>
    <w:rPr>
      <w:color w:val="000000"/>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A5A10"/>
    <w:rPr>
      <w:rFonts w:ascii="Tahoma" w:hAnsi="Tahoma" w:cs="Tahoma"/>
      <w:sz w:val="16"/>
      <w:szCs w:val="16"/>
    </w:rPr>
  </w:style>
  <w:style w:type="character" w:customStyle="1" w:styleId="BalloonTextChar">
    <w:name w:val="Balloon Text Char"/>
    <w:basedOn w:val="DefaultParagraphFont"/>
    <w:link w:val="BalloonText"/>
    <w:uiPriority w:val="99"/>
    <w:semiHidden/>
    <w:rsid w:val="008A5A10"/>
    <w:rPr>
      <w:rFonts w:ascii="Tahoma" w:hAnsi="Tahoma" w:cs="Tahoma"/>
      <w:sz w:val="16"/>
      <w:szCs w:val="16"/>
      <w:lang w:eastAsia="en-US"/>
    </w:rPr>
  </w:style>
  <w:style w:type="paragraph" w:customStyle="1" w:styleId="Default">
    <w:name w:val="Default"/>
    <w:rsid w:val="00825E8C"/>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lang w:eastAsia="en-US"/>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
      <w:bCs/>
      <w:szCs w:val="28"/>
    </w:rPr>
  </w:style>
  <w:style w:type="paragraph" w:styleId="Heading6">
    <w:name w:val="heading 6"/>
    <w:basedOn w:val="Normal"/>
    <w:next w:val="Normal"/>
    <w:qFormat/>
    <w:pPr>
      <w:keepNext/>
      <w:jc w:val="both"/>
      <w:outlineLvl w:val="5"/>
    </w:pPr>
    <w:rPr>
      <w:bCs/>
      <w:color w:val="00008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18"/>
    </w:rPr>
  </w:style>
  <w:style w:type="paragraph" w:styleId="Footer">
    <w:name w:val="footer"/>
    <w:basedOn w:val="Normal"/>
    <w:semiHidden/>
    <w:pPr>
      <w:tabs>
        <w:tab w:val="center" w:pos="4153"/>
        <w:tab w:val="right" w:pos="8306"/>
      </w:tabs>
    </w:pPr>
    <w:rPr>
      <w:sz w:val="18"/>
    </w:rPr>
  </w:style>
  <w:style w:type="paragraph" w:styleId="BodyText3">
    <w:name w:val="Body Text 3"/>
    <w:basedOn w:val="Normal"/>
    <w:semiHidden/>
    <w:rPr>
      <w:color w:val="000080"/>
    </w:rPr>
  </w:style>
  <w:style w:type="paragraph" w:styleId="BodyText">
    <w:name w:val="Body Text"/>
    <w:basedOn w:val="Normal"/>
    <w:semiHidden/>
    <w:pPr>
      <w:jc w:val="both"/>
    </w:pPr>
    <w:rPr>
      <w:color w:val="000080"/>
    </w:rPr>
  </w:style>
  <w:style w:type="paragraph" w:styleId="BodyText2">
    <w:name w:val="Body Text 2"/>
    <w:basedOn w:val="Normal"/>
    <w:semiHidden/>
    <w:pPr>
      <w:tabs>
        <w:tab w:val="left" w:pos="851"/>
      </w:tabs>
      <w:jc w:val="both"/>
    </w:pPr>
    <w:rPr>
      <w:color w:val="000080"/>
      <w:szCs w:val="20"/>
    </w:rPr>
  </w:style>
  <w:style w:type="paragraph" w:styleId="TOC1">
    <w:name w:val="toc 1"/>
    <w:basedOn w:val="Normal"/>
    <w:next w:val="Normal"/>
    <w:autoRedefine/>
    <w:semiHidden/>
    <w:rsid w:val="00BA2FEC"/>
    <w:pPr>
      <w:autoSpaceDE w:val="0"/>
      <w:autoSpaceDN w:val="0"/>
      <w:adjustRightInd w:val="0"/>
      <w:jc w:val="both"/>
    </w:pPr>
    <w:rPr>
      <w:color w:val="000000"/>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A5A10"/>
    <w:rPr>
      <w:rFonts w:ascii="Tahoma" w:hAnsi="Tahoma" w:cs="Tahoma"/>
      <w:sz w:val="16"/>
      <w:szCs w:val="16"/>
    </w:rPr>
  </w:style>
  <w:style w:type="character" w:customStyle="1" w:styleId="BalloonTextChar">
    <w:name w:val="Balloon Text Char"/>
    <w:basedOn w:val="DefaultParagraphFont"/>
    <w:link w:val="BalloonText"/>
    <w:uiPriority w:val="99"/>
    <w:semiHidden/>
    <w:rsid w:val="008A5A10"/>
    <w:rPr>
      <w:rFonts w:ascii="Tahoma" w:hAnsi="Tahoma" w:cs="Tahoma"/>
      <w:sz w:val="16"/>
      <w:szCs w:val="16"/>
      <w:lang w:eastAsia="en-US"/>
    </w:rPr>
  </w:style>
  <w:style w:type="paragraph" w:customStyle="1" w:styleId="Default">
    <w:name w:val="Default"/>
    <w:rsid w:val="00825E8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884</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Sample Malpractice Statement</vt:lpstr>
    </vt:vector>
  </TitlesOfParts>
  <Company>sports coach UK</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Malpractice Statement</dc:title>
  <dc:creator>Stacey Doherty-Bartley</dc:creator>
  <cp:lastModifiedBy>JDC</cp:lastModifiedBy>
  <cp:revision>3</cp:revision>
  <cp:lastPrinted>2007-12-17T16:52:00Z</cp:lastPrinted>
  <dcterms:created xsi:type="dcterms:W3CDTF">2018-01-17T14:58:00Z</dcterms:created>
  <dcterms:modified xsi:type="dcterms:W3CDTF">2018-01-17T15:34:00Z</dcterms:modified>
</cp:coreProperties>
</file>